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line="240" w:lineRule="auto"/>
        <w:rPr>
          <w:rFonts w:hAnsi="Times New Roman" w:cs="Times New Roman"/>
          <w:color w:val="000000"/>
          <w:sz w:val="24"/>
          <w:szCs w:val="24"/>
        </w:rPr>
      </w:pPr>
      <w:r>
        <w:rPr>
          <w:rFonts w:hAnsi="Times New Roman" w:cs="Times New Roman"/>
          <w:color w:val="000000"/>
          <w:sz w:val="24"/>
          <w:szCs w:val="24"/>
        </w:rPr>
        <w:t>Общество с ограниченной ответственностью «Альфа»</w:t>
      </w:r>
      <w:r>
        <w:br/>
      </w:r>
      <w:r>
        <w:rPr>
          <w:rFonts w:hAnsi="Times New Roman" w:cs="Times New Roman"/>
          <w:color w:val="000000"/>
          <w:sz w:val="24"/>
          <w:szCs w:val="24"/>
        </w:rPr>
        <w:t>(ООО «Альфа»)</w:t>
      </w:r>
    </w:p>
    <w:p>
      <w:pPr>
        <w:jc w:val="center"/>
        <w:spacing w:line="240" w:lineRule="auto"/>
        <w:rPr>
          <w:rFonts w:hAnsi="Times New Roman" w:cs="Times New Roman"/>
          <w:color w:val="000000"/>
          <w:sz w:val="24"/>
          <w:szCs w:val="24"/>
        </w:rPr>
      </w:pPr>
    </w:p>
    <w:tbl>
      <w:tblPr>
        <w:tblW w:w="2880" w:type="dxa"/>
        <w:tblLook w:val="0600" w:firstRow="0" w:lastRow="0" w:firstColumn="0" w:lastColumn="0" w:noHBand="1" w:noVBand="1"/>
        <w:jc w:val="right"/>
        <w:tblCellMar>
          <w:top w:w="15" w:type="dxa"/>
          <w:left w:w="15" w:type="dxa"/>
          <w:bottom w:w="15" w:type="dxa"/>
          <w:right w:w="15" w:type="dxa"/>
        </w:tblCellMar>
      </w:tblPr>
      <w:tblGrid>
        <w:gridCol w:w="1440"/>
        <w:gridCol w:w="1440"/>
      </w:tblGrid>
      <w:tr>
        <w:trPr>
          <w:trHeight w:val="0" w:hRule="atLeast"/>
        </w:trPr>
        <w:tc>
          <w:tcPr>
            <w:tcW w:w="0" w:type="auto"/>
            <w:gridSpan w:val="2"/>
            <w:tcMar>
              <w:top w:w="75" w:type="dxa"/>
              <w:left w:w="75" w:type="dxa"/>
              <w:bottom w:w="75" w:type="dxa"/>
              <w:right w:w="75" w:type="dxa"/>
            </w:tcMar>
            <w:vAlign w:val="top"/>
          </w:tcPr>
          <w:p>
            <w:r>
              <w:rPr>
                <w:rFonts w:hAnsi="Times New Roman" w:cs="Times New Roman"/>
                <w:color w:val="000000"/>
                <w:sz w:val="24"/>
                <w:szCs w:val="24"/>
              </w:rPr>
              <w:t>УТВЕРЖДАЮ</w:t>
            </w:r>
            <w:r>
              <w:br/>
            </w:r>
            <w:r>
              <w:rPr>
                <w:rFonts w:hAnsi="Times New Roman" w:cs="Times New Roman"/>
                <w:color w:val="000000"/>
                <w:sz w:val="24"/>
                <w:szCs w:val="24"/>
              </w:rPr>
              <w:t>Директор</w:t>
            </w:r>
            <w:r>
              <w:br/>
            </w:r>
            <w:r>
              <w:rPr>
                <w:rFonts w:hAnsi="Times New Roman" w:cs="Times New Roman"/>
                <w:color w:val="000000"/>
                <w:sz w:val="24"/>
                <w:szCs w:val="24"/>
              </w:rPr>
              <w:t>ООО «Альфа»</w:t>
            </w:r>
          </w:p>
        </w:tc>
      </w:tr>
      <w:tr>
        <w:trPr>
          <w:trHeight w:val="0" w:hRule="atLeast"/>
        </w:trPr>
        <w:tc>
          <w:tcPr>
            <w:tcW w:w="0" w:type="auto"/>
            <w:tcBorders>
              <w:top w:val="none"/>
              <w:left w:val="none"/>
              <w:bottom w:val="single" w:sz="6" w:space="0" w:color="000000"/>
              <w:right w:val="none"/>
            </w:tcBorders>
            <w:tcMar>
              <w:top w:w="75" w:type="dxa"/>
              <w:left w:w="75" w:type="dxa"/>
              <w:bottom w:w="75" w:type="dxa"/>
              <w:right w:w="75" w:type="dxa"/>
            </w:tcMar>
            <w:vAlign w:val="top"/>
          </w:tcPr>
          <w:p>
            <w:pPr>
              <w:ind w:left="75" w:right="75"/>
              <w:spacing w:after="100" w:afterAutospacing="1" w:before="100" w:beforeAutospacing="1" w:line="240" w:lineRule="auto"/>
              <w:rPr>
                <w:rFonts w:hAnsi="Times New Roman" w:cs="Times New Roman"/>
                <w:color w:val="000000"/>
                <w:sz w:val="24"/>
                <w:szCs w:val="24"/>
              </w:rPr>
            </w:pPr>
          </w:p>
        </w:tc>
        <w:tc>
          <w:tcPr>
            <w:tcW w:w="0" w:type="auto"/>
            <w:tcMar>
              <w:top w:w="75" w:type="dxa"/>
              <w:left w:w="75" w:type="dxa"/>
              <w:bottom w:w="75" w:type="dxa"/>
              <w:right w:w="75" w:type="dxa"/>
            </w:tcMar>
            <w:vAlign w:val="top"/>
          </w:tcPr>
          <w:p>
            <w:r>
              <w:rPr>
                <w:rFonts w:hAnsi="Times New Roman" w:cs="Times New Roman"/>
                <w:color w:val="000000"/>
                <w:sz w:val="24"/>
                <w:szCs w:val="24"/>
              </w:rPr>
              <w:t>А.В. Львов</w:t>
            </w:r>
          </w:p>
        </w:tc>
      </w:tr>
      <w:tr>
        <w:trPr>
          <w:trHeight w:val="0" w:hRule="atLeast"/>
        </w:trPr>
        <w:tc>
          <w:tcPr>
            <w:tcW w:w="0" w:type="auto"/>
            <w:tcBorders>
              <w:top w:val="single" w:sz="6" w:space="0" w:color="000000"/>
              <w:left w:val="none"/>
              <w:bottom w:val="none"/>
              <w:right w:val="none"/>
            </w:tcBorders>
            <w:tcMar>
              <w:top w:w="75" w:type="dxa"/>
              <w:left w:w="75" w:type="dxa"/>
              <w:bottom w:w="75" w:type="dxa"/>
              <w:right w:w="75" w:type="dxa"/>
            </w:tcMar>
            <w:vAlign w:val="top"/>
          </w:tcPr>
          <w:p>
            <w:r>
              <w:rPr>
                <w:rFonts w:hAnsi="Times New Roman" w:cs="Times New Roman"/>
                <w:color w:val="000000"/>
                <w:sz w:val="24"/>
                <w:szCs w:val="24"/>
              </w:rPr>
              <w:t>08.02.2022</w:t>
            </w:r>
          </w:p>
        </w:tc>
        <w:tc>
          <w:tcPr>
            <w:tcW w:w="0" w:type="auto"/>
            <w:tcMar>
              <w:top w:w="75" w:type="dxa"/>
              <w:left w:w="75" w:type="dxa"/>
              <w:bottom w:w="75" w:type="dxa"/>
              <w:right w:w="75" w:type="dxa"/>
            </w:tcMar>
            <w:vAlign w:val="top"/>
          </w:tcPr>
          <w:p>
            <w:pPr>
              <w:ind w:left="75" w:right="75"/>
              <w:spacing w:after="100" w:afterAutospacing="1" w:before="100" w:beforeAutospacing="1" w:line="240" w:lineRule="auto"/>
              <w:rPr>
                <w:rFonts w:hAnsi="Times New Roman" w:cs="Times New Roman"/>
                <w:color w:val="000000"/>
                <w:sz w:val="24"/>
                <w:szCs w:val="24"/>
              </w:rPr>
            </w:pPr>
          </w:p>
        </w:tc>
      </w:tr>
    </w:tbl>
    <w:p>
      <w:pPr>
        <w:jc w:val="center"/>
        <w:spacing w:line="240" w:lineRule="auto"/>
        <w:rPr>
          <w:rFonts w:hAnsi="Times New Roman" w:cs="Times New Roman"/>
          <w:color w:val="000000"/>
          <w:sz w:val="24"/>
          <w:szCs w:val="24"/>
        </w:rPr>
      </w:pPr>
      <w:r>
        <w:rPr>
          <w:rFonts w:hAnsi="Times New Roman" w:cs="Times New Roman"/>
          <w:b/>
          <w:bCs/>
          <w:color w:val="000000"/>
          <w:sz w:val="24"/>
          <w:szCs w:val="24"/>
        </w:rPr>
        <w:t>ПОЛОЖЕНИЕ</w:t>
      </w:r>
      <w:r>
        <w:br/>
      </w:r>
      <w:r>
        <w:rPr>
          <w:rFonts w:hAnsi="Times New Roman" w:cs="Times New Roman"/>
          <w:b/>
          <w:bCs/>
          <w:color w:val="000000"/>
          <w:sz w:val="24"/>
          <w:szCs w:val="24"/>
        </w:rPr>
        <w:t>О порядке хранения и защиты персональных данных пользователей</w:t>
      </w:r>
    </w:p>
    <w:tbl>
      <w:tblPr>
        <w:tblW w:w="0" w:type="auto"/>
        <w:tblLook w:val="0600" w:firstRow="0" w:lastRow="0" w:firstColumn="0" w:lastColumn="0" w:noHBand="1" w:noVBand="1"/>
        <w:tblCellMar>
          <w:top w:w="15" w:type="dxa"/>
          <w:left w:w="15" w:type="dxa"/>
          <w:bottom w:w="15" w:type="dxa"/>
          <w:right w:w="15" w:type="dxa"/>
        </w:tblCellMar>
      </w:tblPr>
      <w:tblGrid>
        <w:gridCol w:w="1440"/>
        <w:gridCol w:w="7611"/>
      </w:tblGrid>
      <w:tr>
        <w:trPr>
          <w:trHeight w:val="0" w:hRule="atLeast"/>
        </w:trPr>
        <w:tc>
          <w:tcPr>
            <w:tcW w:w="1440" w:type="dxa"/>
            <w:tcMar>
              <w:top w:w="75" w:type="dxa"/>
              <w:left w:w="75" w:type="dxa"/>
              <w:bottom w:w="75" w:type="dxa"/>
              <w:right w:w="75" w:type="dxa"/>
            </w:tcMar>
            <w:vAlign w:val="top"/>
          </w:tcPr>
          <w:p>
            <w:r>
              <w:rPr>
                <w:rFonts w:hAnsi="Times New Roman" w:cs="Times New Roman"/>
                <w:color w:val="000000"/>
                <w:sz w:val="24"/>
                <w:szCs w:val="24"/>
              </w:rPr>
              <w:t>08.02.2022</w:t>
            </w:r>
          </w:p>
        </w:tc>
        <w:tc>
          <w:tcPr>
            <w:tcW w:w="7611" w:type="dxa"/>
            <w:tcMar>
              <w:top w:w="75" w:type="dxa"/>
              <w:left w:w="75" w:type="dxa"/>
              <w:bottom w:w="75" w:type="dxa"/>
              <w:right w:w="75" w:type="dxa"/>
            </w:tcMar>
            <w:vAlign w:val="top"/>
          </w:tcPr>
          <w:p>
            <w:pPr>
              <w:jc w:val="right"/>
            </w:pPr>
            <w:r>
              <w:rPr>
                <w:rFonts w:hAnsi="Times New Roman" w:cs="Times New Roman"/>
                <w:color w:val="000000"/>
                <w:sz w:val="24"/>
                <w:szCs w:val="24"/>
              </w:rPr>
              <w:t>№ 1</w:t>
            </w:r>
          </w:p>
        </w:tc>
      </w:tr>
    </w:tbl>
    <w:p>
      <w:pPr>
        <w:jc w:val="center"/>
        <w:spacing w:line="240" w:lineRule="auto"/>
        <w:rPr>
          <w:rFonts w:hAnsi="Times New Roman" w:cs="Times New Roman"/>
          <w:color w:val="000000"/>
          <w:sz w:val="24"/>
          <w:szCs w:val="24"/>
        </w:rPr>
      </w:pPr>
      <w:r>
        <w:rPr>
          <w:rFonts w:hAnsi="Times New Roman" w:cs="Times New Roman"/>
          <w:color w:val="000000"/>
          <w:sz w:val="24"/>
          <w:szCs w:val="24"/>
        </w:rPr>
        <w:t>Москва</w:t>
      </w:r>
    </w:p>
    <w:p>
      <w:pPr>
        <w:jc w:val="center"/>
        <w:spacing w:line="240" w:lineRule="auto"/>
        <w:rPr>
          <w:rFonts w:hAnsi="Times New Roman" w:cs="Times New Roman"/>
          <w:color w:val="000000"/>
          <w:sz w:val="24"/>
          <w:szCs w:val="24"/>
        </w:rPr>
      </w:pPr>
      <w:r>
        <w:rPr>
          <w:rFonts w:hAnsi="Times New Roman" w:cs="Times New Roman"/>
          <w:b/>
          <w:bCs/>
          <w:color w:val="000000"/>
          <w:sz w:val="24"/>
          <w:szCs w:val="24"/>
        </w:rPr>
        <w:t>1. Термины и определения</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Сайт</w:t>
      </w:r>
      <w:r>
        <w:rPr>
          <w:rFonts w:hAnsi="Times New Roman" w:cs="Times New Roman"/>
          <w:color w:val="000000"/>
          <w:sz w:val="24"/>
          <w:szCs w:val="24"/>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w:t>
      </w:r>
      <w:r>
        <w:rPr>
          <w:rFonts w:hAnsi="Times New Roman" w:cs="Times New Roman"/>
          <w:color w:val="000000"/>
          <w:sz w:val="24"/>
          <w:szCs w:val="24"/>
          <w:rtl w:val="off"/>
        </w:rPr>
        <w:t>Положении</w:t>
      </w:r>
      <w:r>
        <w:rPr>
          <w:rFonts w:hAnsi="Times New Roman" w:cs="Times New Roman"/>
          <w:color w:val="000000"/>
          <w:sz w:val="24"/>
          <w:szCs w:val="24"/>
        </w:rPr>
        <w:t xml:space="preserve"> понимается Сайт, расположенный в сети Интернет по адресу: http://www.site.ru.</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Пользователь</w:t>
      </w:r>
      <w:r>
        <w:rPr>
          <w:rFonts w:hAnsi="Times New Roman" w:cs="Times New Roman"/>
          <w:color w:val="000000"/>
          <w:sz w:val="24"/>
          <w:szCs w:val="24"/>
        </w:rPr>
        <w:t xml:space="preserve"> – пользователь сети Интернет и, в частности, Сайта, имеющий свою личную страницу (профиль/аккаунт).</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Федеральный закон (ФЗ)</w:t>
      </w:r>
      <w:r>
        <w:rPr>
          <w:rFonts w:hAnsi="Times New Roman" w:cs="Times New Roman"/>
          <w:color w:val="000000"/>
          <w:sz w:val="24"/>
          <w:szCs w:val="24"/>
        </w:rPr>
        <w:t xml:space="preserve"> – Федеральный закон от 27.07.2006 № 152 ФЗ «О персональных данных» (далее – Закон о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Персональные данные</w:t>
      </w:r>
      <w:r>
        <w:rPr>
          <w:rFonts w:hAnsi="Times New Roman" w:cs="Times New Roman"/>
          <w:color w:val="000000"/>
          <w:sz w:val="24"/>
          <w:szCs w:val="24"/>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Персональные данные, разрешенные субъектом персональных данных для распространения</w:t>
      </w:r>
      <w:r>
        <w:rPr>
          <w:rFonts w:hAnsi="Times New Roman" w:cs="Times New Roman"/>
          <w:color w:val="000000"/>
          <w:sz w:val="24"/>
          <w:szCs w:val="24"/>
        </w:rPr>
        <w:t>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Оператор</w:t>
      </w:r>
      <w:r>
        <w:rPr>
          <w:rFonts w:hAnsi="Times New Roman" w:cs="Times New Roman"/>
          <w:color w:val="000000"/>
          <w:sz w:val="24"/>
          <w:szCs w:val="24"/>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pPr>
        <w:jc w:val="both"/>
        <w:spacing w:line="240" w:lineRule="auto"/>
        <w:rPr>
          <w:rFonts w:hAnsi="Times New Roman" w:cs="Times New Roman"/>
          <w:color w:val="000000"/>
          <w:sz w:val="24"/>
          <w:szCs w:val="24"/>
        </w:rPr>
      </w:pPr>
      <w:r>
        <w:rPr>
          <w:rFonts w:hAnsi="Times New Roman" w:cs="Times New Roman"/>
          <w:color w:val="000000"/>
          <w:sz w:val="24"/>
          <w:szCs w:val="24"/>
        </w:rPr>
        <w:t>Оператором является общество с ограниченной ответственностью «Альфа», расположенное по адресу: 101000, г. Москва, ул. Михайловская, дом 20.</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Обработка персональных данных</w:t>
      </w:r>
      <w:r>
        <w:rPr>
          <w:rFonts w:hAnsi="Times New Roman" w:cs="Times New Roman"/>
          <w:color w:val="000000"/>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Автоматизированная обработка персональных данных</w:t>
      </w:r>
      <w:r>
        <w:rPr>
          <w:rFonts w:hAnsi="Times New Roman" w:cs="Times New Roman"/>
          <w:color w:val="000000"/>
          <w:sz w:val="24"/>
          <w:szCs w:val="24"/>
        </w:rPr>
        <w:t xml:space="preserve"> – обработка персональных данных с помощью средств вычислительной техники.</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Предоставление персональных данных</w:t>
      </w:r>
      <w:r>
        <w:rPr>
          <w:rFonts w:hAnsi="Times New Roman" w:cs="Times New Roman"/>
          <w:color w:val="000000"/>
          <w:sz w:val="24"/>
          <w:szCs w:val="24"/>
        </w:rPr>
        <w:t xml:space="preserve"> – действия, направленные на раскрытие персональных данных определенному лицу или определенному кругу лиц.</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Блокирование персональных данных</w:t>
      </w:r>
      <w:r>
        <w:rPr>
          <w:rFonts w:hAnsi="Times New Roman" w:cs="Times New Roman"/>
          <w:color w:val="000000"/>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Уничтожение персональных данных</w:t>
      </w:r>
      <w:r>
        <w:rPr>
          <w:rFonts w:hAnsi="Times New Roman" w:cs="Times New Roman"/>
          <w:color w:val="000000"/>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Обезличивание персональных данных</w:t>
      </w:r>
      <w:r>
        <w:rPr>
          <w:rFonts w:hAnsi="Times New Roman" w:cs="Times New Roman"/>
          <w:color w:val="000000"/>
          <w:sz w:val="24"/>
          <w:szCs w:val="24"/>
        </w:rPr>
        <w:t xml:space="preserve"> – действия, в результате которых становится</w:t>
      </w:r>
      <w:r>
        <w:br/>
      </w:r>
      <w:r>
        <w:rPr>
          <w:rFonts w:hAnsi="Times New Roman" w:cs="Times New Roman"/>
          <w:color w:val="000000"/>
          <w:sz w:val="24"/>
          <w:szCs w:val="24"/>
        </w:rPr>
        <w:t>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pPr>
        <w:jc w:val="both"/>
        <w:spacing w:line="240" w:lineRule="auto"/>
        <w:rPr>
          <w:rFonts w:hAnsi="Times New Roman" w:cs="Times New Roman"/>
          <w:color w:val="000000"/>
          <w:sz w:val="24"/>
          <w:szCs w:val="24"/>
        </w:rPr>
      </w:pPr>
      <w:r>
        <w:rPr>
          <w:rFonts w:hAnsi="Times New Roman" w:cs="Times New Roman"/>
          <w:b/>
          <w:bCs/>
          <w:color w:val="000000"/>
          <w:sz w:val="24"/>
          <w:szCs w:val="24"/>
        </w:rPr>
        <w:t>Информационная система персональных данных (ИСПДн)</w:t>
      </w:r>
      <w:r>
        <w:rPr>
          <w:rFonts w:hAnsi="Times New Roman" w:cs="Times New Roman"/>
          <w:color w:val="000000"/>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jc w:val="center"/>
        <w:spacing w:line="240" w:lineRule="auto"/>
        <w:rPr>
          <w:rFonts w:hAnsi="Times New Roman" w:cs="Times New Roman"/>
          <w:color w:val="000000"/>
          <w:sz w:val="24"/>
          <w:szCs w:val="24"/>
        </w:rPr>
      </w:pPr>
      <w:r>
        <w:rPr>
          <w:rFonts w:hAnsi="Times New Roman" w:cs="Times New Roman"/>
          <w:b/>
          <w:bCs/>
          <w:color w:val="000000"/>
          <w:sz w:val="24"/>
          <w:szCs w:val="24"/>
        </w:rPr>
        <w:t>2. Общие положения</w:t>
      </w:r>
    </w:p>
    <w:p>
      <w:pPr>
        <w:jc w:val="both"/>
        <w:spacing w:line="240" w:lineRule="auto"/>
        <w:rPr>
          <w:rFonts w:hAnsi="Times New Roman" w:cs="Times New Roman"/>
          <w:color w:val="000000"/>
          <w:sz w:val="24"/>
          <w:szCs w:val="24"/>
        </w:rPr>
      </w:pPr>
      <w:r>
        <w:rPr>
          <w:rFonts w:hAnsi="Times New Roman" w:cs="Times New Roman"/>
          <w:color w:val="000000"/>
          <w:sz w:val="24"/>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pPr>
        <w:jc w:val="both"/>
        <w:spacing w:line="240" w:lineRule="auto"/>
        <w:rPr>
          <w:rFonts w:hAnsi="Times New Roman" w:cs="Times New Roman"/>
          <w:color w:val="000000"/>
          <w:sz w:val="24"/>
          <w:szCs w:val="24"/>
        </w:rPr>
      </w:pPr>
      <w:r>
        <w:rPr>
          <w:rFonts w:hAnsi="Times New Roman" w:cs="Times New Roman"/>
          <w:color w:val="000000"/>
          <w:sz w:val="24"/>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pPr>
        <w:jc w:val="both"/>
        <w:spacing w:line="240" w:lineRule="auto"/>
        <w:rPr>
          <w:rFonts w:hAnsi="Times New Roman" w:cs="Times New Roman"/>
          <w:color w:val="000000"/>
          <w:sz w:val="24"/>
          <w:szCs w:val="24"/>
        </w:rPr>
      </w:pPr>
      <w:r>
        <w:rPr>
          <w:rFonts w:hAnsi="Times New Roman" w:cs="Times New Roman"/>
          <w:color w:val="000000"/>
          <w:sz w:val="24"/>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pPr>
        <w:jc w:val="both"/>
        <w:spacing w:line="240" w:lineRule="auto"/>
        <w:rPr>
          <w:rFonts w:hAnsi="Times New Roman" w:cs="Times New Roman"/>
          <w:color w:val="000000"/>
          <w:sz w:val="24"/>
          <w:szCs w:val="24"/>
        </w:rPr>
      </w:pPr>
      <w:r>
        <w:rPr>
          <w:rFonts w:hAnsi="Times New Roman" w:cs="Times New Roman"/>
          <w:color w:val="000000"/>
          <w:sz w:val="24"/>
          <w:szCs w:val="24"/>
        </w:rPr>
        <w:t>2.6. Целями Положения являются:</w:t>
      </w:r>
    </w:p>
    <w:p>
      <w:pPr>
        <w:ind w:left="780" w:right="180"/>
        <w:contextualSpacing/>
        <w:jc w:val="both"/>
        <w:numPr>
          <w:ilvl w:val="0"/>
          <w:numId w:val="1"/>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pPr>
        <w:ind w:left="780" w:right="180"/>
        <w:jc w:val="both"/>
        <w:numPr>
          <w:ilvl w:val="0"/>
          <w:numId w:val="1"/>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pPr>
        <w:jc w:val="both"/>
        <w:spacing w:line="240" w:lineRule="auto"/>
        <w:rPr>
          <w:rFonts w:hAnsi="Times New Roman" w:cs="Times New Roman"/>
          <w:color w:val="000000"/>
          <w:sz w:val="24"/>
          <w:szCs w:val="24"/>
        </w:rPr>
      </w:pPr>
      <w:r>
        <w:rPr>
          <w:rFonts w:hAnsi="Times New Roman" w:cs="Times New Roman"/>
          <w:color w:val="000000"/>
          <w:sz w:val="24"/>
          <w:szCs w:val="24"/>
        </w:rPr>
        <w:t>2.7. Принципы обработки персональных данных:</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должна осуществляться на законной и справедливой основе;</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обработке подлежат только персональные данные, которые отвечают целям их обработки;</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избыточными по отношению к заявленным целям их обработки;</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содержание и объем обрабатываемых персональных данных неопределенному кругу лиц определяет субъект персональных данных в соглашении на распространение персональных данных;</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pPr>
        <w:ind w:left="780" w:right="180"/>
        <w:contextualSpacing/>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cоглашением, стороной которого является Пользователь;</w:t>
      </w:r>
    </w:p>
    <w:p>
      <w:pPr>
        <w:ind w:left="780" w:right="180"/>
        <w:jc w:val="both"/>
        <w:numPr>
          <w:ilvl w:val="0"/>
          <w:numId w:val="2"/>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 или в случае утраты необходимости в достижении этих целей, если иное не предусмотрено Федеральным законом.</w:t>
      </w:r>
    </w:p>
    <w:p>
      <w:pPr>
        <w:jc w:val="both"/>
        <w:spacing w:line="240" w:lineRule="auto"/>
        <w:rPr>
          <w:rFonts w:hAnsi="Times New Roman" w:cs="Times New Roman"/>
          <w:color w:val="000000"/>
          <w:sz w:val="24"/>
          <w:szCs w:val="24"/>
        </w:rPr>
      </w:pPr>
      <w:r>
        <w:rPr>
          <w:rFonts w:hAnsi="Times New Roman" w:cs="Times New Roman"/>
          <w:color w:val="000000"/>
          <w:sz w:val="24"/>
          <w:szCs w:val="24"/>
        </w:rPr>
        <w:t>2.8. Условия обработки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pPr>
        <w:jc w:val="both"/>
        <w:spacing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допускается в следующих случаях:</w:t>
      </w:r>
    </w:p>
    <w:p>
      <w:pPr>
        <w:ind w:left="780" w:right="180"/>
        <w:contextualSpacing/>
        <w:jc w:val="both"/>
        <w:numPr>
          <w:ilvl w:val="0"/>
          <w:numId w:val="3"/>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необходима для использования Сайта, стороной которого является Пользователь;</w:t>
      </w:r>
    </w:p>
    <w:p>
      <w:pPr>
        <w:ind w:left="780" w:right="180"/>
        <w:contextualSpacing/>
        <w:jc w:val="both"/>
        <w:numPr>
          <w:ilvl w:val="0"/>
          <w:numId w:val="3"/>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pPr>
        <w:ind w:left="780" w:right="180"/>
        <w:contextualSpacing/>
        <w:jc w:val="both"/>
        <w:numPr>
          <w:ilvl w:val="0"/>
          <w:numId w:val="3"/>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pPr>
        <w:ind w:left="780" w:right="180"/>
        <w:jc w:val="both"/>
        <w:numPr>
          <w:ilvl w:val="0"/>
          <w:numId w:val="3"/>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2.9. Цели обработки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pPr>
        <w:jc w:val="both"/>
        <w:spacing w:line="240" w:lineRule="auto"/>
        <w:rPr>
          <w:rFonts w:hAnsi="Times New Roman" w:cs="Times New Roman"/>
          <w:color w:val="000000"/>
          <w:sz w:val="24"/>
          <w:szCs w:val="24"/>
        </w:rPr>
      </w:pPr>
      <w:r>
        <w:rPr>
          <w:rFonts w:hAnsi="Times New Roman" w:cs="Times New Roman"/>
          <w:color w:val="000000"/>
          <w:sz w:val="24"/>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2.10. Источники получения персональных данных Пользователей.</w:t>
      </w:r>
    </w:p>
    <w:p>
      <w:pPr>
        <w:jc w:val="both"/>
        <w:spacing w:line="240" w:lineRule="auto"/>
        <w:rPr>
          <w:rFonts w:hAnsi="Times New Roman" w:cs="Times New Roman"/>
          <w:color w:val="000000"/>
          <w:sz w:val="24"/>
          <w:szCs w:val="24"/>
        </w:rPr>
      </w:pPr>
      <w:r>
        <w:rPr>
          <w:rFonts w:hAnsi="Times New Roman" w:cs="Times New Roman"/>
          <w:color w:val="000000"/>
          <w:sz w:val="24"/>
          <w:szCs w:val="24"/>
        </w:rPr>
        <w:t>2.10.1. Источником информации обо всех персональных данных Пользователя является непосредственно сам Пользователь.</w:t>
      </w:r>
    </w:p>
    <w:p>
      <w:pPr>
        <w:jc w:val="both"/>
        <w:spacing w:line="240" w:lineRule="auto"/>
        <w:rPr>
          <w:rFonts w:hAnsi="Times New Roman" w:cs="Times New Roman"/>
          <w:color w:val="000000"/>
          <w:sz w:val="24"/>
          <w:szCs w:val="24"/>
        </w:rPr>
      </w:pPr>
      <w:r>
        <w:rPr>
          <w:rFonts w:hAnsi="Times New Roman" w:cs="Times New Roman"/>
          <w:color w:val="000000"/>
          <w:sz w:val="24"/>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pPr>
        <w:jc w:val="both"/>
        <w:spacing w:line="240" w:lineRule="auto"/>
        <w:rPr>
          <w:rFonts w:hAnsi="Times New Roman" w:cs="Times New Roman"/>
          <w:color w:val="000000"/>
          <w:sz w:val="24"/>
          <w:szCs w:val="24"/>
        </w:rPr>
      </w:pPr>
      <w:r>
        <w:rPr>
          <w:rFonts w:hAnsi="Times New Roman" w:cs="Times New Roman"/>
          <w:color w:val="000000"/>
          <w:sz w:val="24"/>
          <w:szCs w:val="24"/>
        </w:rPr>
        <w:t>2.10.3. Персональные данные Пользователей относятся к конфиденциальной информации ограниченного доступа.</w:t>
      </w:r>
    </w:p>
    <w:p>
      <w:pPr>
        <w:jc w:val="both"/>
        <w:spacing w:line="240" w:lineRule="auto"/>
        <w:rPr>
          <w:rFonts w:hAnsi="Times New Roman" w:cs="Times New Roman"/>
          <w:color w:val="000000"/>
          <w:sz w:val="24"/>
          <w:szCs w:val="24"/>
        </w:rPr>
      </w:pPr>
      <w:r>
        <w:rPr>
          <w:rFonts w:hAnsi="Times New Roman" w:cs="Times New Roman"/>
          <w:color w:val="000000"/>
          <w:sz w:val="24"/>
          <w:szCs w:val="24"/>
        </w:rPr>
        <w:t>2.10.4.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pPr>
        <w:jc w:val="both"/>
        <w:spacing w:line="240" w:lineRule="auto"/>
        <w:rPr>
          <w:rFonts w:hAnsi="Times New Roman" w:cs="Times New Roman"/>
          <w:color w:val="000000"/>
          <w:sz w:val="24"/>
          <w:szCs w:val="24"/>
        </w:rPr>
      </w:pPr>
      <w:r>
        <w:rPr>
          <w:rFonts w:hAnsi="Times New Roman" w:cs="Times New Roman"/>
          <w:color w:val="000000"/>
          <w:sz w:val="24"/>
          <w:szCs w:val="24"/>
        </w:rPr>
        <w:t>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pPr>
        <w:jc w:val="both"/>
        <w:spacing w:line="240" w:lineRule="auto"/>
        <w:rPr>
          <w:rFonts w:hAnsi="Times New Roman" w:cs="Times New Roman"/>
          <w:color w:val="000000"/>
          <w:sz w:val="24"/>
          <w:szCs w:val="24"/>
        </w:rPr>
      </w:pPr>
      <w:r>
        <w:rPr>
          <w:rFonts w:hAnsi="Times New Roman" w:cs="Times New Roman"/>
          <w:color w:val="000000"/>
          <w:sz w:val="24"/>
          <w:szCs w:val="24"/>
        </w:rPr>
        <w:t>2.11. Способы обработки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2.11.1. Персональные данные Пользователей Сайта обрабатываются исключительно с использованием средств автоматизации.</w:t>
      </w:r>
    </w:p>
    <w:p>
      <w:pPr>
        <w:jc w:val="both"/>
        <w:spacing w:line="240" w:lineRule="auto"/>
        <w:rPr>
          <w:rFonts w:hAnsi="Times New Roman" w:cs="Times New Roman"/>
          <w:color w:val="000000"/>
          <w:sz w:val="24"/>
          <w:szCs w:val="24"/>
        </w:rPr>
      </w:pPr>
      <w:r>
        <w:rPr>
          <w:rFonts w:hAnsi="Times New Roman" w:cs="Times New Roman"/>
          <w:color w:val="000000"/>
          <w:sz w:val="24"/>
          <w:szCs w:val="24"/>
        </w:rPr>
        <w:t>2.12. Права субъектов (Пользователей)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подтверждение факта обработки персональных данных Оператором, а также цель такой обработки;</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правовые основания и цели обработки персональных данных;</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цели и применяемые Оператором способы обработки персональных данных;</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сроки обработки персональных данных, в том числе сроки их хранения;</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порядок осуществления субъектом персональных данных прав, предусмотренных Федеральным законом;</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информацию об осуществленной или о предполагаемой трансграничной передаче данных;</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иные сведения, предусмотренные Федеральным законом или другими федеральными законами;</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требовать изменения, уточнения, уничтожения информации о самом себе;</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обжаловать неправомерные действия или бездействие по обработке персональных данных и требовать соответствующей компенсации в суде;</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на дополнение персональных данных оценочного характера заявлением, выражающим его собственную точку зрения;</w:t>
      </w:r>
    </w:p>
    <w:p>
      <w:pPr>
        <w:ind w:left="780" w:right="180"/>
        <w:contextualSpacing/>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определять представителей для защиты своих персональных данных;</w:t>
      </w:r>
    </w:p>
    <w:p>
      <w:pPr>
        <w:ind w:left="780" w:right="180"/>
        <w:jc w:val="both"/>
        <w:numPr>
          <w:ilvl w:val="0"/>
          <w:numId w:val="4"/>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требовать от Оператора уведомления обо всех произведенных в них изменениях или исключениях из них.</w:t>
      </w:r>
    </w:p>
    <w:p>
      <w:pPr>
        <w:jc w:val="both"/>
        <w:spacing w:line="240" w:lineRule="auto"/>
        <w:rPr>
          <w:rFonts w:hAnsi="Times New Roman" w:cs="Times New Roman"/>
          <w:color w:val="000000"/>
          <w:sz w:val="24"/>
          <w:szCs w:val="24"/>
        </w:rPr>
      </w:pPr>
      <w:r>
        <w:rPr>
          <w:rFonts w:hAnsi="Times New Roman" w:cs="Times New Roman"/>
          <w:color w:val="000000"/>
          <w:sz w:val="24"/>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pPr>
        <w:jc w:val="both"/>
        <w:spacing w:line="240" w:lineRule="auto"/>
        <w:rPr>
          <w:rFonts w:hAnsi="Times New Roman" w:cs="Times New Roman"/>
          <w:color w:val="000000"/>
          <w:sz w:val="24"/>
          <w:szCs w:val="24"/>
        </w:rPr>
      </w:pPr>
      <w:r>
        <w:rPr>
          <w:rFonts w:hAnsi="Times New Roman" w:cs="Times New Roman"/>
          <w:color w:val="000000"/>
          <w:sz w:val="24"/>
          <w:szCs w:val="24"/>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jc w:val="both"/>
        <w:spacing w:line="240" w:lineRule="auto"/>
        <w:rPr>
          <w:rFonts w:hAnsi="Times New Roman" w:cs="Times New Roman"/>
          <w:color w:val="000000"/>
          <w:sz w:val="24"/>
          <w:szCs w:val="24"/>
        </w:rPr>
      </w:pPr>
      <w:r>
        <w:rPr>
          <w:rFonts w:hAnsi="Times New Roman" w:cs="Times New Roman"/>
          <w:color w:val="000000"/>
          <w:sz w:val="24"/>
          <w:szCs w:val="24"/>
        </w:rPr>
        <w:t>2.13. Обязанности Оператора.</w:t>
      </w:r>
    </w:p>
    <w:p>
      <w:pPr>
        <w:jc w:val="both"/>
        <w:spacing w:line="240" w:lineRule="auto"/>
        <w:rPr>
          <w:rFonts w:hAnsi="Times New Roman" w:cs="Times New Roman"/>
          <w:color w:val="000000"/>
          <w:sz w:val="24"/>
          <w:szCs w:val="24"/>
        </w:rPr>
      </w:pPr>
      <w:r>
        <w:rPr>
          <w:rFonts w:hAnsi="Times New Roman" w:cs="Times New Roman"/>
          <w:color w:val="000000"/>
          <w:sz w:val="24"/>
          <w:szCs w:val="24"/>
        </w:rPr>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w:t>
      </w:r>
      <w:r>
        <w:br/>
      </w:r>
      <w:r>
        <w:rPr>
          <w:rFonts w:hAnsi="Times New Roman" w:cs="Times New Roman"/>
          <w:color w:val="000000"/>
          <w:sz w:val="24"/>
          <w:szCs w:val="24"/>
        </w:rPr>
        <w:t>получения запроса субъекта персональных данных или его представителя.</w:t>
      </w:r>
    </w:p>
    <w:p>
      <w:pPr>
        <w:jc w:val="both"/>
        <w:spacing w:line="240" w:lineRule="auto"/>
        <w:rPr>
          <w:rFonts w:hAnsi="Times New Roman" w:cs="Times New Roman"/>
          <w:color w:val="000000"/>
          <w:sz w:val="24"/>
          <w:szCs w:val="24"/>
        </w:rPr>
      </w:pPr>
      <w:r>
        <w:rPr>
          <w:rFonts w:hAnsi="Times New Roman" w:cs="Times New Roman"/>
          <w:color w:val="000000"/>
          <w:sz w:val="24"/>
          <w:szCs w:val="24"/>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pPr>
        <w:jc w:val="both"/>
        <w:spacing w:line="240" w:lineRule="auto"/>
        <w:rPr>
          <w:rFonts w:hAnsi="Times New Roman" w:cs="Times New Roman"/>
          <w:color w:val="000000"/>
          <w:sz w:val="24"/>
          <w:szCs w:val="24"/>
        </w:rPr>
      </w:pPr>
      <w:r>
        <w:rPr>
          <w:rFonts w:hAnsi="Times New Roman" w:cs="Times New Roman"/>
          <w:color w:val="000000"/>
          <w:sz w:val="24"/>
          <w:szCs w:val="24"/>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pPr>
        <w:jc w:val="both"/>
        <w:spacing w:line="240" w:lineRule="auto"/>
        <w:rPr>
          <w:rFonts w:hAnsi="Times New Roman" w:cs="Times New Roman"/>
          <w:color w:val="000000"/>
          <w:sz w:val="24"/>
          <w:szCs w:val="24"/>
        </w:rPr>
      </w:pPr>
      <w:r>
        <w:rPr>
          <w:rFonts w:hAnsi="Times New Roman" w:cs="Times New Roman"/>
          <w:color w:val="000000"/>
          <w:sz w:val="24"/>
          <w:szCs w:val="24"/>
        </w:rPr>
        <w:t>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pPr>
        <w:jc w:val="both"/>
        <w:spacing w:line="240" w:lineRule="auto"/>
        <w:rPr>
          <w:rFonts w:hAnsi="Times New Roman" w:cs="Times New Roman"/>
          <w:color w:val="000000"/>
          <w:sz w:val="24"/>
          <w:szCs w:val="24"/>
        </w:rPr>
      </w:pPr>
      <w:r>
        <w:rPr>
          <w:rFonts w:hAnsi="Times New Roman" w:cs="Times New Roman"/>
          <w:color w:val="000000"/>
          <w:sz w:val="24"/>
          <w:szCs w:val="24"/>
        </w:rPr>
        <w:t>2.13.7.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jc w:val="both"/>
        <w:spacing w:line="240" w:lineRule="auto"/>
        <w:rPr>
          <w:rFonts w:hAnsi="Times New Roman" w:cs="Times New Roman"/>
          <w:color w:val="000000"/>
          <w:sz w:val="24"/>
          <w:szCs w:val="24"/>
        </w:rPr>
      </w:pPr>
      <w:r>
        <w:rPr>
          <w:rFonts w:hAnsi="Times New Roman" w:cs="Times New Roman"/>
          <w:color w:val="000000"/>
          <w:sz w:val="24"/>
          <w:szCs w:val="24"/>
        </w:rPr>
        <w:t>2.13.8.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jc w:val="both"/>
        <w:spacing w:line="240" w:lineRule="auto"/>
        <w:rPr>
          <w:rFonts w:hAnsi="Times New Roman" w:cs="Times New Roman"/>
          <w:color w:val="000000"/>
          <w:sz w:val="24"/>
          <w:szCs w:val="24"/>
        </w:rPr>
      </w:pPr>
      <w:r>
        <w:rPr>
          <w:rFonts w:hAnsi="Times New Roman" w:cs="Times New Roman"/>
          <w:color w:val="000000"/>
          <w:sz w:val="24"/>
          <w:szCs w:val="24"/>
        </w:rPr>
        <w:t>2.13.9.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2.13.10.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pPr>
        <w:jc w:val="both"/>
        <w:spacing w:line="240" w:lineRule="auto"/>
        <w:rPr>
          <w:rFonts w:hAnsi="Times New Roman" w:cs="Times New Roman"/>
          <w:color w:val="000000"/>
          <w:sz w:val="24"/>
          <w:szCs w:val="24"/>
        </w:rPr>
      </w:pPr>
      <w:r>
        <w:rPr>
          <w:rFonts w:hAnsi="Times New Roman" w:cs="Times New Roman"/>
          <w:color w:val="000000"/>
          <w:sz w:val="24"/>
          <w:szCs w:val="24"/>
        </w:rPr>
        <w:t>2.14. Режим конфиденциальности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pPr>
        <w:jc w:val="both"/>
        <w:spacing w:line="240" w:lineRule="auto"/>
        <w:rPr>
          <w:rFonts w:hAnsi="Times New Roman" w:cs="Times New Roman"/>
          <w:color w:val="000000"/>
          <w:sz w:val="24"/>
          <w:szCs w:val="24"/>
        </w:rPr>
      </w:pPr>
      <w:r>
        <w:rPr>
          <w:rFonts w:hAnsi="Times New Roman" w:cs="Times New Roman"/>
          <w:color w:val="000000"/>
          <w:sz w:val="24"/>
          <w:szCs w:val="24"/>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pPr>
        <w:jc w:val="both"/>
        <w:spacing w:line="240" w:lineRule="auto"/>
        <w:rPr>
          <w:rFonts w:hAnsi="Times New Roman" w:cs="Times New Roman"/>
          <w:color w:val="000000"/>
          <w:sz w:val="24"/>
          <w:szCs w:val="24"/>
        </w:rPr>
      </w:pPr>
      <w:r>
        <w:rPr>
          <w:rFonts w:hAnsi="Times New Roman" w:cs="Times New Roman"/>
          <w:color w:val="000000"/>
          <w:sz w:val="24"/>
          <w:szCs w:val="24"/>
        </w:rPr>
        <w:t>2.14.3. В соответствии с перечнем персональных данных, обрабатываемых на сайте,</w:t>
      </w:r>
      <w:r>
        <w:br/>
      </w:r>
      <w:r>
        <w:rPr>
          <w:rFonts w:hAnsi="Times New Roman" w:cs="Times New Roman"/>
          <w:color w:val="000000"/>
          <w:sz w:val="24"/>
          <w:szCs w:val="24"/>
        </w:rPr>
        <w:t>персональные данные Пользователей Сайта являются конфиденциальной информацией.</w:t>
      </w:r>
    </w:p>
    <w:p>
      <w:pPr>
        <w:jc w:val="both"/>
        <w:spacing w:line="240" w:lineRule="auto"/>
        <w:rPr>
          <w:rFonts w:hAnsi="Times New Roman" w:cs="Times New Roman"/>
          <w:color w:val="000000"/>
          <w:sz w:val="24"/>
          <w:szCs w:val="24"/>
        </w:rPr>
      </w:pPr>
      <w:r>
        <w:rPr>
          <w:rFonts w:hAnsi="Times New Roman" w:cs="Times New Roman"/>
          <w:color w:val="000000"/>
          <w:sz w:val="24"/>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pPr>
        <w:jc w:val="center"/>
        <w:spacing w:line="240" w:lineRule="auto"/>
        <w:rPr>
          <w:rFonts w:hAnsi="Times New Roman" w:cs="Times New Roman"/>
          <w:color w:val="000000"/>
          <w:sz w:val="24"/>
          <w:szCs w:val="24"/>
        </w:rPr>
      </w:pPr>
      <w:r>
        <w:rPr>
          <w:rFonts w:hAnsi="Times New Roman" w:cs="Times New Roman"/>
          <w:b/>
          <w:bCs/>
          <w:color w:val="000000"/>
          <w:sz w:val="24"/>
          <w:szCs w:val="24"/>
        </w:rPr>
        <w:t>3. Обработка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3.1. Перечень обрабатываемых персональных данных Пользователей указывает субъект персональных в согласии на обработку персональных данных, разрешенных субъектом персональных данных для распространения.</w:t>
      </w:r>
    </w:p>
    <w:p>
      <w:pPr>
        <w:jc w:val="both"/>
        <w:spacing w:line="240" w:lineRule="auto"/>
        <w:rPr>
          <w:rFonts w:hAnsi="Times New Roman" w:cs="Times New Roman"/>
          <w:color w:val="000000"/>
          <w:sz w:val="24"/>
          <w:szCs w:val="24"/>
        </w:rPr>
      </w:pPr>
      <w:r>
        <w:rPr>
          <w:rFonts w:hAnsi="Times New Roman" w:cs="Times New Roman"/>
          <w:color w:val="000000"/>
          <w:sz w:val="24"/>
          <w:szCs w:val="24"/>
        </w:rPr>
        <w:t>3.2. Лица, имеющие право доступа к персональным данным.</w:t>
      </w:r>
    </w:p>
    <w:p>
      <w:pPr>
        <w:jc w:val="both"/>
        <w:spacing w:line="240" w:lineRule="auto"/>
        <w:rPr>
          <w:rFonts w:hAnsi="Times New Roman" w:cs="Times New Roman"/>
          <w:color w:val="000000"/>
          <w:sz w:val="24"/>
          <w:szCs w:val="24"/>
        </w:rPr>
      </w:pPr>
      <w:r>
        <w:rPr>
          <w:rFonts w:hAnsi="Times New Roman" w:cs="Times New Roman"/>
          <w:color w:val="000000"/>
          <w:sz w:val="24"/>
          <w:szCs w:val="24"/>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pPr>
        <w:jc w:val="both"/>
        <w:spacing w:line="240" w:lineRule="auto"/>
        <w:rPr>
          <w:rFonts w:hAnsi="Times New Roman" w:cs="Times New Roman"/>
          <w:color w:val="000000"/>
          <w:sz w:val="24"/>
          <w:szCs w:val="24"/>
        </w:rPr>
      </w:pPr>
      <w:r>
        <w:rPr>
          <w:rFonts w:hAnsi="Times New Roman" w:cs="Times New Roman"/>
          <w:color w:val="000000"/>
          <w:sz w:val="24"/>
          <w:szCs w:val="24"/>
        </w:rPr>
        <w:t>3.2.2. Перечень лиц, имеющих доступ к персональным данным, утверждается директором Оператора.</w:t>
      </w:r>
    </w:p>
    <w:p>
      <w:pPr>
        <w:jc w:val="both"/>
        <w:spacing w:line="240" w:lineRule="auto"/>
        <w:rPr>
          <w:rFonts w:hAnsi="Times New Roman" w:cs="Times New Roman"/>
          <w:color w:val="000000"/>
          <w:sz w:val="24"/>
          <w:szCs w:val="24"/>
        </w:rPr>
      </w:pPr>
      <w:r>
        <w:rPr>
          <w:rFonts w:hAnsi="Times New Roman" w:cs="Times New Roman"/>
          <w:color w:val="000000"/>
          <w:sz w:val="24"/>
          <w:szCs w:val="24"/>
        </w:rPr>
        <w:t>3.3. Порядок и сроки хранения персональных данных на Сайте.</w:t>
      </w:r>
    </w:p>
    <w:p>
      <w:pPr>
        <w:jc w:val="both"/>
        <w:spacing w:line="240" w:lineRule="auto"/>
        <w:rPr>
          <w:rFonts w:hAnsi="Times New Roman" w:cs="Times New Roman"/>
          <w:color w:val="000000"/>
          <w:sz w:val="24"/>
          <w:szCs w:val="24"/>
        </w:rPr>
      </w:pPr>
      <w:r>
        <w:rPr>
          <w:rFonts w:hAnsi="Times New Roman" w:cs="Times New Roman"/>
          <w:color w:val="000000"/>
          <w:sz w:val="24"/>
          <w:szCs w:val="24"/>
        </w:rPr>
        <w:t>3.3.1. Оператор осуществляет только хранение персональных данных Пользователей на Сайте.</w:t>
      </w:r>
    </w:p>
    <w:p>
      <w:pPr>
        <w:jc w:val="both"/>
        <w:spacing w:line="240" w:lineRule="auto"/>
        <w:rPr>
          <w:rFonts w:hAnsi="Times New Roman" w:cs="Times New Roman"/>
          <w:color w:val="000000"/>
          <w:sz w:val="24"/>
          <w:szCs w:val="24"/>
        </w:rPr>
      </w:pPr>
      <w:r>
        <w:rPr>
          <w:rFonts w:hAnsi="Times New Roman" w:cs="Times New Roman"/>
          <w:color w:val="000000"/>
          <w:sz w:val="24"/>
          <w:szCs w:val="24"/>
        </w:rPr>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pPr>
        <w:jc w:val="both"/>
        <w:spacing w:line="240" w:lineRule="auto"/>
        <w:rPr>
          <w:rFonts w:hAnsi="Times New Roman" w:cs="Times New Roman"/>
          <w:color w:val="000000"/>
          <w:sz w:val="24"/>
          <w:szCs w:val="24"/>
        </w:rPr>
      </w:pPr>
      <w:r>
        <w:rPr>
          <w:rFonts w:hAnsi="Times New Roman" w:cs="Times New Roman"/>
          <w:color w:val="000000"/>
          <w:sz w:val="24"/>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pPr>
        <w:jc w:val="both"/>
        <w:spacing w:line="240" w:lineRule="auto"/>
        <w:rPr>
          <w:rFonts w:hAnsi="Times New Roman" w:cs="Times New Roman"/>
          <w:color w:val="000000"/>
          <w:sz w:val="24"/>
          <w:szCs w:val="24"/>
        </w:rPr>
      </w:pPr>
      <w:r>
        <w:rPr>
          <w:rFonts w:hAnsi="Times New Roman" w:cs="Times New Roman"/>
          <w:color w:val="000000"/>
          <w:sz w:val="24"/>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pPr>
        <w:jc w:val="both"/>
        <w:spacing w:line="240" w:lineRule="auto"/>
        <w:rPr>
          <w:rFonts w:hAnsi="Times New Roman" w:cs="Times New Roman"/>
          <w:color w:val="000000"/>
          <w:sz w:val="24"/>
          <w:szCs w:val="24"/>
        </w:rPr>
      </w:pPr>
      <w:r>
        <w:rPr>
          <w:rFonts w:hAnsi="Times New Roman" w:cs="Times New Roman"/>
          <w:color w:val="000000"/>
          <w:sz w:val="24"/>
          <w:szCs w:val="24"/>
        </w:rPr>
        <w:t>3.3.5. Оператором не ведется обработка персональных данных Пользователей на бумажных носителях информации.</w:t>
      </w:r>
    </w:p>
    <w:p>
      <w:pPr>
        <w:jc w:val="both"/>
        <w:spacing w:line="240" w:lineRule="auto"/>
        <w:rPr>
          <w:rFonts w:hAnsi="Times New Roman" w:cs="Times New Roman"/>
          <w:color w:val="000000"/>
          <w:sz w:val="24"/>
          <w:szCs w:val="24"/>
        </w:rPr>
      </w:pPr>
      <w:r>
        <w:rPr>
          <w:rFonts w:hAnsi="Times New Roman" w:cs="Times New Roman"/>
          <w:color w:val="000000"/>
          <w:sz w:val="24"/>
          <w:szCs w:val="24"/>
        </w:rPr>
        <w:t>3.4. Блокирование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pPr>
        <w:jc w:val="both"/>
        <w:spacing w:line="240" w:lineRule="auto"/>
        <w:rPr>
          <w:rFonts w:hAnsi="Times New Roman" w:cs="Times New Roman"/>
          <w:color w:val="000000"/>
          <w:sz w:val="24"/>
          <w:szCs w:val="24"/>
        </w:rPr>
      </w:pPr>
      <w:r>
        <w:rPr>
          <w:rFonts w:hAnsi="Times New Roman" w:cs="Times New Roman"/>
          <w:color w:val="000000"/>
          <w:sz w:val="24"/>
          <w:szCs w:val="24"/>
        </w:rPr>
        <w:t>3.4.3. Блокирование персональных данных на Сайте осуществляется на основании письменного заявления от субъекта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3.5. Уничтожение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pPr>
        <w:jc w:val="both"/>
        <w:spacing w:line="240" w:lineRule="auto"/>
        <w:rPr>
          <w:rFonts w:hAnsi="Times New Roman" w:cs="Times New Roman"/>
          <w:color w:val="000000"/>
          <w:sz w:val="24"/>
          <w:szCs w:val="24"/>
        </w:rPr>
      </w:pPr>
      <w:r>
        <w:rPr>
          <w:rFonts w:hAnsi="Times New Roman" w:cs="Times New Roman"/>
          <w:color w:val="000000"/>
          <w:sz w:val="24"/>
          <w:szCs w:val="24"/>
        </w:rPr>
        <w:t>3.5.3. В случае отсутствия возможности уничтожения персональных данных Оператор осуществляет блокирование таких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pPr>
        <w:jc w:val="center"/>
        <w:spacing w:line="240" w:lineRule="auto"/>
        <w:rPr>
          <w:rFonts w:hAnsi="Times New Roman" w:cs="Times New Roman"/>
          <w:color w:val="000000"/>
          <w:sz w:val="24"/>
          <w:szCs w:val="24"/>
        </w:rPr>
      </w:pPr>
      <w:r>
        <w:rPr>
          <w:rFonts w:hAnsi="Times New Roman" w:cs="Times New Roman"/>
          <w:b/>
          <w:bCs/>
          <w:color w:val="000000"/>
          <w:sz w:val="24"/>
          <w:szCs w:val="24"/>
        </w:rPr>
        <w:t>4. Система защиты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4.1. Меры по обеспечению безопасности персональных данных при их обработке.</w:t>
      </w:r>
    </w:p>
    <w:p>
      <w:pPr>
        <w:jc w:val="both"/>
        <w:spacing w:line="240" w:lineRule="auto"/>
        <w:rPr>
          <w:rFonts w:hAnsi="Times New Roman" w:cs="Times New Roman"/>
          <w:color w:val="000000"/>
          <w:sz w:val="24"/>
          <w:szCs w:val="24"/>
        </w:rPr>
      </w:pPr>
      <w:r>
        <w:rPr>
          <w:rFonts w:hAnsi="Times New Roman" w:cs="Times New Roman"/>
          <w:color w:val="000000"/>
          <w:sz w:val="24"/>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4.1.2. Обеспечение безопасности персональных данных достигается, в частности:</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определением угроз безопасности персональных данных при их обработке в информационных системах персональных данных;</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применением прошедших в установленном порядке процедуру оценки соответствия средств защиты информации;</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учетом машинных носителей персональных данных;</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обнаружением фактов несанкционированного доступа к персональным данным и принятием мер;</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восстановлением персональных данных, модифицированных или уничтоженных вследствие несанкционированного доступа к ним;</w:t>
      </w:r>
    </w:p>
    <w:p>
      <w:pPr>
        <w:ind w:left="780" w:right="180"/>
        <w:contextualSpacing/>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ind w:left="780" w:right="180"/>
        <w:jc w:val="both"/>
        <w:numPr>
          <w:ilvl w:val="0"/>
          <w:numId w:val="5"/>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4.2. Защищаемые сведения о субъекте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pPr>
        <w:jc w:val="both"/>
        <w:spacing w:line="240" w:lineRule="auto"/>
        <w:rPr>
          <w:rFonts w:hAnsi="Times New Roman" w:cs="Times New Roman"/>
          <w:color w:val="000000"/>
          <w:sz w:val="24"/>
          <w:szCs w:val="24"/>
        </w:rPr>
      </w:pPr>
      <w:r>
        <w:rPr>
          <w:rFonts w:hAnsi="Times New Roman" w:cs="Times New Roman"/>
          <w:color w:val="000000"/>
          <w:sz w:val="24"/>
          <w:szCs w:val="24"/>
        </w:rPr>
        <w:t>4.3. Защищаемые объекты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4.3.1. К защищаемым объектам персональных данных на Сайте относятся:</w:t>
      </w:r>
    </w:p>
    <w:p>
      <w:pPr>
        <w:ind w:left="780" w:right="180"/>
        <w:contextualSpacing/>
        <w:jc w:val="both"/>
        <w:numPr>
          <w:ilvl w:val="0"/>
          <w:numId w:val="6"/>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объекты информатизации и технические средства автоматизированной обработки информации, содержащей персональные данные;</w:t>
      </w:r>
    </w:p>
    <w:p>
      <w:pPr>
        <w:ind w:left="780" w:right="180"/>
        <w:contextualSpacing/>
        <w:jc w:val="both"/>
        <w:numPr>
          <w:ilvl w:val="0"/>
          <w:numId w:val="6"/>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pPr>
        <w:ind w:left="780" w:right="180"/>
        <w:contextualSpacing/>
        <w:jc w:val="both"/>
        <w:numPr>
          <w:ilvl w:val="0"/>
          <w:numId w:val="6"/>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каналы связи, которые используются для передачи персональных данных в виде информативных электрических сигналов и физических полей;</w:t>
      </w:r>
    </w:p>
    <w:p>
      <w:pPr>
        <w:ind w:left="780" w:right="180"/>
        <w:jc w:val="both"/>
        <w:numPr>
          <w:ilvl w:val="0"/>
          <w:numId w:val="6"/>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отчуждаемые носители информации на магнитной, магнитно-оптической и иной основе, применяемые для обработки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4.3.2. Технологическая информация об информационных системах и элементах системы защиты персональных данных, подлежащая защите, включает:</w:t>
      </w:r>
    </w:p>
    <w:p>
      <w:pPr>
        <w:ind w:left="780" w:right="180"/>
        <w:contextualSpacing/>
        <w:jc w:val="both"/>
        <w:numPr>
          <w:ilvl w:val="0"/>
          <w:numId w:val="7"/>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сведения о системе управления доступом на объекты информатизации, на которых осуществляется обработка персональных данных;</w:t>
      </w:r>
    </w:p>
    <w:p>
      <w:pPr>
        <w:ind w:left="780" w:right="180"/>
        <w:contextualSpacing/>
        <w:jc w:val="both"/>
        <w:numPr>
          <w:ilvl w:val="0"/>
          <w:numId w:val="7"/>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управляющая информация (конфигурационные файлы, таблицы маршрутизации, настройки системы защиты и пр.);</w:t>
      </w:r>
    </w:p>
    <w:p>
      <w:pPr>
        <w:ind w:left="780" w:right="180"/>
        <w:contextualSpacing/>
        <w:jc w:val="both"/>
        <w:numPr>
          <w:ilvl w:val="0"/>
          <w:numId w:val="7"/>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технологическая информация средств доступа к системам управления (аутентификационная информация, ключи и атрибуты доступа и др.);</w:t>
      </w:r>
    </w:p>
    <w:p>
      <w:pPr>
        <w:ind w:left="780" w:right="180"/>
        <w:contextualSpacing/>
        <w:jc w:val="both"/>
        <w:numPr>
          <w:ilvl w:val="0"/>
          <w:numId w:val="7"/>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pPr>
        <w:ind w:left="780" w:right="180"/>
        <w:contextualSpacing/>
        <w:jc w:val="both"/>
        <w:numPr>
          <w:ilvl w:val="0"/>
          <w:numId w:val="7"/>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информация о средствах защиты персональных данных, их составе и структуре, принципах и технических решениях защиты;</w:t>
      </w:r>
    </w:p>
    <w:p>
      <w:pPr>
        <w:ind w:left="780" w:right="180"/>
        <w:jc w:val="both"/>
        <w:numPr>
          <w:ilvl w:val="0"/>
          <w:numId w:val="7"/>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4.4. Требования к системе защиты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Система защиты персональных данных должна соответствовать требованиям постановления Правительства от 01.11.2012 № 1119 «Об утверждении требований к защите персональных данных при их обработке в информационных системах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4.4.1. Система защиты персональных данных должна обеспечивать:</w:t>
      </w:r>
    </w:p>
    <w:p>
      <w:pPr>
        <w:ind w:left="780" w:right="180"/>
        <w:contextualSpacing/>
        <w:jc w:val="both"/>
        <w:numPr>
          <w:ilvl w:val="0"/>
          <w:numId w:val="8"/>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pPr>
        <w:ind w:left="780" w:right="180"/>
        <w:contextualSpacing/>
        <w:jc w:val="both"/>
        <w:numPr>
          <w:ilvl w:val="0"/>
          <w:numId w:val="8"/>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pPr>
        <w:ind w:left="780" w:right="180"/>
        <w:contextualSpacing/>
        <w:jc w:val="both"/>
        <w:numPr>
          <w:ilvl w:val="0"/>
          <w:numId w:val="8"/>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pPr>
        <w:ind w:left="780" w:right="180"/>
        <w:jc w:val="both"/>
        <w:numPr>
          <w:ilvl w:val="0"/>
          <w:numId w:val="8"/>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постоянный контроль за обеспечением уровня защищенности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pPr>
        <w:jc w:val="both"/>
        <w:spacing w:line="240" w:lineRule="auto"/>
        <w:rPr>
          <w:rFonts w:hAnsi="Times New Roman" w:cs="Times New Roman"/>
          <w:color w:val="000000"/>
          <w:sz w:val="24"/>
          <w:szCs w:val="24"/>
        </w:rPr>
      </w:pPr>
      <w:r>
        <w:rPr>
          <w:rFonts w:hAnsi="Times New Roman" w:cs="Times New Roman"/>
          <w:color w:val="000000"/>
          <w:sz w:val="24"/>
          <w:szCs w:val="24"/>
        </w:rPr>
        <w:t>4.5. Методы и способы защиты информации в информационных системах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4.5.1. Методы и способы защиты информации в информационных системах персональных данных Оператора должны соответствовать требованиям:</w:t>
      </w:r>
    </w:p>
    <w:p>
      <w:pPr>
        <w:ind w:left="780" w:right="180"/>
        <w:contextualSpacing/>
        <w:jc w:val="both"/>
        <w:numPr>
          <w:ilvl w:val="0"/>
          <w:numId w:val="9"/>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ind w:left="780" w:right="180"/>
        <w:jc w:val="both"/>
        <w:numPr>
          <w:ilvl w:val="0"/>
          <w:numId w:val="9"/>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pPr>
        <w:jc w:val="both"/>
        <w:spacing w:line="240" w:lineRule="auto"/>
        <w:rPr>
          <w:rFonts w:hAnsi="Times New Roman" w:cs="Times New Roman"/>
          <w:color w:val="000000"/>
          <w:sz w:val="24"/>
          <w:szCs w:val="24"/>
        </w:rPr>
      </w:pPr>
      <w:r>
        <w:rPr>
          <w:rFonts w:hAnsi="Times New Roman" w:cs="Times New Roman"/>
          <w:color w:val="000000"/>
          <w:sz w:val="24"/>
          <w:szCs w:val="24"/>
        </w:rPr>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pPr>
        <w:jc w:val="both"/>
        <w:spacing w:line="240" w:lineRule="auto"/>
        <w:rPr>
          <w:rFonts w:hAnsi="Times New Roman" w:cs="Times New Roman"/>
          <w:color w:val="000000"/>
          <w:sz w:val="24"/>
          <w:szCs w:val="24"/>
        </w:rPr>
      </w:pPr>
      <w:r>
        <w:rPr>
          <w:rFonts w:hAnsi="Times New Roman" w:cs="Times New Roman"/>
          <w:color w:val="000000"/>
          <w:sz w:val="24"/>
          <w:szCs w:val="24"/>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pPr>
        <w:jc w:val="both"/>
        <w:spacing w:line="240" w:lineRule="auto"/>
        <w:rPr>
          <w:rFonts w:hAnsi="Times New Roman" w:cs="Times New Roman"/>
          <w:color w:val="000000"/>
          <w:sz w:val="24"/>
          <w:szCs w:val="24"/>
        </w:rPr>
      </w:pPr>
      <w:r>
        <w:rPr>
          <w:rFonts w:hAnsi="Times New Roman" w:cs="Times New Roman"/>
          <w:color w:val="000000"/>
          <w:sz w:val="24"/>
          <w:szCs w:val="24"/>
        </w:rPr>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pPr>
        <w:jc w:val="both"/>
        <w:spacing w:line="240" w:lineRule="auto"/>
        <w:rPr>
          <w:rFonts w:hAnsi="Times New Roman" w:cs="Times New Roman"/>
          <w:color w:val="000000"/>
          <w:sz w:val="24"/>
          <w:szCs w:val="24"/>
        </w:rPr>
      </w:pPr>
      <w:r>
        <w:rPr>
          <w:rFonts w:hAnsi="Times New Roman" w:cs="Times New Roman"/>
          <w:color w:val="000000"/>
          <w:sz w:val="24"/>
          <w:szCs w:val="24"/>
        </w:rPr>
        <w:t>4.6. Меры защиты информации, составляющей персональные данные.</w:t>
      </w:r>
    </w:p>
    <w:p>
      <w:pPr>
        <w:jc w:val="both"/>
        <w:spacing w:line="240" w:lineRule="auto"/>
        <w:rPr>
          <w:rFonts w:hAnsi="Times New Roman" w:cs="Times New Roman"/>
          <w:color w:val="000000"/>
          <w:sz w:val="24"/>
          <w:szCs w:val="24"/>
        </w:rPr>
      </w:pPr>
      <w:r>
        <w:rPr>
          <w:rFonts w:hAnsi="Times New Roman" w:cs="Times New Roman"/>
          <w:color w:val="000000"/>
          <w:sz w:val="24"/>
          <w:szCs w:val="24"/>
        </w:rPr>
        <w:t>4.6.1. Меры по охране баз данных, содержащих персональные данные, принимаемые Оператором, должны включать в себя:</w:t>
      </w:r>
    </w:p>
    <w:p>
      <w:pPr>
        <w:ind w:left="780" w:right="180"/>
        <w:contextualSpacing/>
        <w:jc w:val="both"/>
        <w:numPr>
          <w:ilvl w:val="0"/>
          <w:numId w:val="10"/>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определение перечня информации, составляющей персональные данные;</w:t>
      </w:r>
    </w:p>
    <w:p>
      <w:pPr>
        <w:ind w:left="780" w:right="180"/>
        <w:jc w:val="both"/>
        <w:numPr>
          <w:ilvl w:val="0"/>
          <w:numId w:val="10"/>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pPr>
        <w:jc w:val="both"/>
        <w:spacing w:line="240" w:lineRule="auto"/>
        <w:rPr>
          <w:rFonts w:hAnsi="Times New Roman" w:cs="Times New Roman"/>
          <w:color w:val="000000"/>
          <w:sz w:val="24"/>
          <w:szCs w:val="24"/>
        </w:rPr>
      </w:pPr>
      <w:r>
        <w:rPr>
          <w:rFonts w:hAnsi="Times New Roman" w:cs="Times New Roman"/>
          <w:color w:val="000000"/>
          <w:sz w:val="24"/>
          <w:szCs w:val="24"/>
        </w:rPr>
        <w:t>4.6.2. Меры по охране конфиденциальности информации признаются разумно достаточными, если:</w:t>
      </w:r>
    </w:p>
    <w:p>
      <w:pPr>
        <w:ind w:left="780" w:right="180"/>
        <w:contextualSpacing/>
        <w:jc w:val="both"/>
        <w:numPr>
          <w:ilvl w:val="0"/>
          <w:numId w:val="11"/>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исключается доступ к персональным данным любых третьих лиц без согласия Оператора;</w:t>
      </w:r>
    </w:p>
    <w:p>
      <w:pPr>
        <w:ind w:left="780" w:right="180"/>
        <w:contextualSpacing/>
        <w:jc w:val="both"/>
        <w:numPr>
          <w:ilvl w:val="0"/>
          <w:numId w:val="11"/>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обеспечивается возможность использования информации, содержащей персональные данные, без нарушения законодательства о персональных данных;</w:t>
      </w:r>
    </w:p>
    <w:p>
      <w:pPr>
        <w:ind w:left="780" w:right="180"/>
        <w:jc w:val="both"/>
        <w:numPr>
          <w:ilvl w:val="0"/>
          <w:numId w:val="11"/>
        </w:numPr>
        <w:spacing w:afterAutospacing="1" w:beforeAutospacing="1" w:line="240" w:lineRule="auto"/>
        <w:rPr>
          <w:rFonts w:hAnsi="Times New Roman" w:cs="Times New Roman"/>
          <w:color w:val="000000"/>
          <w:sz w:val="24"/>
          <w:szCs w:val="24"/>
        </w:rPr>
      </w:pPr>
      <w:r>
        <w:rPr>
          <w:rFonts w:hAnsi="Times New Roman" w:cs="Times New Roman"/>
          <w:color w:val="000000"/>
          <w:sz w:val="24"/>
          <w:szCs w:val="24"/>
        </w:rPr>
        <w:t>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pPr>
        <w:jc w:val="both"/>
        <w:spacing w:line="240" w:lineRule="auto"/>
        <w:rPr>
          <w:rFonts w:hAnsi="Times New Roman" w:cs="Times New Roman"/>
          <w:color w:val="000000"/>
          <w:sz w:val="24"/>
          <w:szCs w:val="24"/>
        </w:rPr>
      </w:pPr>
      <w:r>
        <w:rPr>
          <w:rFonts w:hAnsi="Times New Roman" w:cs="Times New Roman"/>
          <w:color w:val="000000"/>
          <w:sz w:val="24"/>
          <w:szCs w:val="24"/>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jc w:val="both"/>
        <w:spacing w:line="240" w:lineRule="auto"/>
        <w:rPr>
          <w:rFonts w:hAnsi="Times New Roman" w:cs="Times New Roman"/>
          <w:color w:val="000000"/>
          <w:sz w:val="24"/>
          <w:szCs w:val="24"/>
        </w:rPr>
      </w:pPr>
      <w:r>
        <w:rPr>
          <w:rFonts w:hAnsi="Times New Roman" w:cs="Times New Roman"/>
          <w:color w:val="000000"/>
          <w:sz w:val="24"/>
          <w:szCs w:val="24"/>
        </w:rPr>
        <w:t>4.7. Ответственность.</w:t>
      </w:r>
    </w:p>
    <w:p>
      <w:pPr>
        <w:jc w:val="both"/>
        <w:spacing w:line="240" w:lineRule="auto"/>
        <w:rPr>
          <w:rFonts w:hAnsi="Times New Roman" w:cs="Times New Roman"/>
          <w:color w:val="000000"/>
          <w:sz w:val="24"/>
          <w:szCs w:val="24"/>
        </w:rPr>
      </w:pPr>
      <w:r>
        <w:rPr>
          <w:rFonts w:hAnsi="Times New Roman" w:cs="Times New Roman"/>
          <w:color w:val="000000"/>
          <w:sz w:val="24"/>
          <w:szCs w:val="24"/>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pPr>
        <w:jc w:val="both"/>
        <w:spacing w:line="240" w:lineRule="auto"/>
        <w:rPr>
          <w:rFonts w:hAnsi="Times New Roman" w:cs="Times New Roman"/>
          <w:color w:val="000000"/>
          <w:sz w:val="24"/>
          <w:szCs w:val="24"/>
        </w:rPr>
      </w:pPr>
      <w:r>
        <w:rPr>
          <w:rFonts w:hAnsi="Times New Roman" w:cs="Times New Roman"/>
          <w:color w:val="000000"/>
          <w:sz w:val="24"/>
          <w:szCs w:val="24"/>
        </w:rPr>
        <w:t>4.7.2. Лица, виновные в нарушении требований Положения, несут предусмотренную</w:t>
      </w:r>
      <w:r>
        <w:br/>
      </w:r>
      <w:r>
        <w:rPr>
          <w:rFonts w:hAnsi="Times New Roman" w:cs="Times New Roman"/>
          <w:color w:val="000000"/>
          <w:sz w:val="24"/>
          <w:szCs w:val="24"/>
        </w:rPr>
        <w:t>законодательством РФ ответственность.</w:t>
      </w:r>
    </w:p>
    <w:p>
      <w:pPr>
        <w:jc w:val="both"/>
        <w:spacing w:line="240" w:lineRule="auto"/>
        <w:rPr>
          <w:rFonts w:hAnsi="Times New Roman" w:cs="Times New Roman"/>
          <w:color w:val="000000"/>
          <w:sz w:val="24"/>
          <w:szCs w:val="24"/>
        </w:rPr>
      </w:pPr>
      <w:r>
        <w:rPr>
          <w:rFonts w:hAnsi="Times New Roman" w:cs="Times New Roman"/>
          <w:color w:val="000000"/>
          <w:sz w:val="24"/>
          <w:szCs w:val="24"/>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pPr>
        <w:jc w:val="center"/>
        <w:spacing w:line="240" w:lineRule="auto"/>
        <w:rPr>
          <w:rFonts w:hAnsi="Times New Roman" w:cs="Times New Roman"/>
          <w:color w:val="000000"/>
          <w:sz w:val="24"/>
          <w:szCs w:val="24"/>
        </w:rPr>
      </w:pPr>
      <w:r>
        <w:rPr>
          <w:rFonts w:hAnsi="Times New Roman" w:cs="Times New Roman"/>
          <w:b/>
          <w:bCs/>
          <w:color w:val="000000"/>
          <w:sz w:val="24"/>
          <w:szCs w:val="24"/>
        </w:rPr>
        <w:t>5. Заключительные положения</w:t>
      </w:r>
    </w:p>
    <w:p>
      <w:pPr>
        <w:jc w:val="both"/>
        <w:spacing w:line="240" w:lineRule="auto"/>
        <w:rPr>
          <w:rFonts w:hAnsi="Times New Roman" w:cs="Times New Roman"/>
          <w:color w:val="000000"/>
          <w:sz w:val="24"/>
          <w:szCs w:val="24"/>
        </w:rPr>
      </w:pPr>
      <w:r>
        <w:rPr>
          <w:rFonts w:hAnsi="Times New Roman" w:cs="Times New Roman"/>
          <w:color w:val="000000"/>
          <w:sz w:val="24"/>
          <w:szCs w:val="24"/>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r>
        <w:br/>
      </w:r>
    </w:p>
    <w:tbl>
      <w:tblPr>
        <w:tblW w:w="0" w:type="auto"/>
        <w:tblLook w:val="0600" w:firstRow="0" w:lastRow="0" w:firstColumn="0" w:lastColumn="0" w:noHBand="1" w:noVBand="1"/>
        <w:tblCellMar>
          <w:top w:w="15" w:type="dxa"/>
          <w:left w:w="15" w:type="dxa"/>
          <w:bottom w:w="15" w:type="dxa"/>
          <w:right w:w="15" w:type="dxa"/>
        </w:tblCellMar>
      </w:tblPr>
      <w:tblGrid>
        <w:gridCol w:w="1440"/>
        <w:gridCol w:w="1560"/>
        <w:gridCol w:w="1560"/>
        <w:gridCol w:w="1200"/>
        <w:gridCol w:w="3462"/>
      </w:tblGrid>
      <w:tr>
        <w:trPr>
          <w:trHeight w:val="0" w:hRule="atLeast"/>
        </w:trPr>
        <w:tc>
          <w:tcPr>
            <w:tcW w:w="1440" w:type="dxa"/>
            <w:tcMar>
              <w:top w:w="75" w:type="dxa"/>
              <w:left w:w="75" w:type="dxa"/>
              <w:bottom w:w="75" w:type="dxa"/>
              <w:right w:w="75" w:type="dxa"/>
            </w:tcMar>
            <w:vAlign w:val="top"/>
          </w:tcPr>
          <w:p>
            <w:r>
              <w:rPr>
                <w:rFonts w:hAnsi="Times New Roman" w:cs="Times New Roman"/>
                <w:color w:val="000000"/>
                <w:sz w:val="24"/>
                <w:szCs w:val="24"/>
              </w:rPr>
              <w:t>Директор</w:t>
            </w:r>
          </w:p>
        </w:tc>
        <w:tc>
          <w:tcPr>
            <w:tcW w:w="1560" w:type="dxa"/>
            <w:tcMar>
              <w:top w:w="75" w:type="dxa"/>
              <w:left w:w="75" w:type="dxa"/>
              <w:bottom w:w="75" w:type="dxa"/>
              <w:right w:w="75" w:type="dxa"/>
            </w:tcMar>
            <w:vAlign w:val="top"/>
          </w:tcPr>
          <w:p/>
        </w:tc>
        <w:tc>
          <w:tcPr>
            <w:tcW w:w="1560" w:type="dxa"/>
            <w:tcBorders>
              <w:top w:val="none"/>
              <w:left w:val="none"/>
              <w:bottom w:val="single" w:sz="6" w:space="0" w:color="000000"/>
              <w:right w:val="none"/>
            </w:tcBorders>
            <w:tcMar>
              <w:top w:w="75" w:type="dxa"/>
              <w:left w:w="75" w:type="dxa"/>
              <w:bottom w:w="75" w:type="dxa"/>
              <w:right w:w="75" w:type="dxa"/>
            </w:tcMar>
            <w:vAlign w:val="top"/>
          </w:tcPr>
          <w:p>
            <w:pPr>
              <w:jc w:val="center"/>
            </w:pPr>
            <w:r>
              <w:rPr>
                <w:rFonts w:hAnsi="Times New Roman" w:cs="Times New Roman"/>
                <w:color w:val="000000"/>
                <w:sz w:val="24"/>
                <w:szCs w:val="24"/>
              </w:rPr>
              <w:t>Львов</w:t>
            </w:r>
          </w:p>
        </w:tc>
        <w:tc>
          <w:tcPr>
            <w:tcW w:w="1200" w:type="dxa"/>
            <w:tcMar>
              <w:top w:w="75" w:type="dxa"/>
              <w:left w:w="75" w:type="dxa"/>
              <w:bottom w:w="75" w:type="dxa"/>
              <w:right w:w="75" w:type="dxa"/>
            </w:tcMar>
            <w:vAlign w:val="top"/>
          </w:tcPr>
          <w:p/>
        </w:tc>
        <w:tc>
          <w:tcPr>
            <w:tcW w:w="3462" w:type="dxa"/>
            <w:tcMar>
              <w:top w:w="75" w:type="dxa"/>
              <w:left w:w="75" w:type="dxa"/>
              <w:bottom w:w="75" w:type="dxa"/>
              <w:right w:w="75" w:type="dxa"/>
            </w:tcMar>
            <w:vAlign w:val="top"/>
          </w:tcPr>
          <w:p>
            <w:pPr>
              <w:jc w:val="right"/>
            </w:pPr>
            <w:r>
              <w:rPr>
                <w:rFonts w:hAnsi="Times New Roman" w:cs="Times New Roman"/>
                <w:color w:val="000000"/>
                <w:sz w:val="24"/>
                <w:szCs w:val="24"/>
              </w:rPr>
              <w:t>А.В. Львов</w:t>
            </w:r>
          </w:p>
        </w:tc>
      </w:tr>
      <w:tr>
        <w:trPr>
          <w:trHeight w:val="0" w:hRule="atLeast"/>
        </w:trPr>
        <w:tc>
          <w:tcPr>
            <w:tcW w:w="1440" w:type="dxa"/>
            <w:tcMar>
              <w:top w:w="75" w:type="dxa"/>
              <w:left w:w="75" w:type="dxa"/>
              <w:bottom w:w="75" w:type="dxa"/>
              <w:right w:w="75" w:type="dxa"/>
            </w:tcMar>
            <w:vAlign w:val="top"/>
          </w:tcPr>
          <w:p>
            <w:r>
              <w:rPr>
                <w:rFonts w:hAnsi="Times New Roman" w:cs="Times New Roman"/>
                <w:color w:val="000000"/>
                <w:sz w:val="24"/>
                <w:szCs w:val="24"/>
              </w:rPr>
              <w:t>08.02.2022</w:t>
            </w:r>
          </w:p>
        </w:tc>
        <w:tc>
          <w:tcPr>
            <w:tcW w:w="1560" w:type="dxa"/>
            <w:tcMar>
              <w:top w:w="75" w:type="dxa"/>
              <w:left w:w="75" w:type="dxa"/>
              <w:bottom w:w="75" w:type="dxa"/>
              <w:right w:w="75" w:type="dxa"/>
            </w:tcMar>
            <w:vAlign w:val="top"/>
          </w:tcPr>
          <w:p>
            <w:pPr>
              <w:ind w:left="75" w:right="75"/>
              <w:spacing w:after="100" w:afterAutospacing="1" w:before="100" w:beforeAutospacing="1" w:line="240" w:lineRule="auto"/>
              <w:rPr>
                <w:rFonts w:hAnsi="Times New Roman" w:cs="Times New Roman"/>
                <w:color w:val="000000"/>
                <w:sz w:val="24"/>
                <w:szCs w:val="24"/>
              </w:rPr>
            </w:pPr>
          </w:p>
        </w:tc>
        <w:tc>
          <w:tcPr>
            <w:tcW w:w="1560" w:type="dxa"/>
            <w:tcBorders>
              <w:top w:val="single" w:sz="6" w:space="0" w:color="000000"/>
              <w:left w:val="none"/>
              <w:bottom w:val="none"/>
              <w:right w:val="none"/>
            </w:tcBorders>
            <w:tcMar>
              <w:top w:w="75" w:type="dxa"/>
              <w:left w:w="75" w:type="dxa"/>
              <w:bottom w:w="75" w:type="dxa"/>
              <w:right w:w="75" w:type="dxa"/>
            </w:tcMar>
            <w:vAlign w:val="top"/>
          </w:tcPr>
          <w:p>
            <w:pPr>
              <w:ind w:left="75" w:right="75"/>
              <w:spacing w:after="100" w:afterAutospacing="1" w:before="100" w:beforeAutospacing="1" w:line="240" w:lineRule="auto"/>
              <w:rPr>
                <w:rFonts w:hAnsi="Times New Roman" w:cs="Times New Roman"/>
                <w:color w:val="000000"/>
                <w:sz w:val="24"/>
                <w:szCs w:val="24"/>
              </w:rPr>
            </w:pPr>
          </w:p>
        </w:tc>
        <w:tc>
          <w:tcPr>
            <w:tcW w:w="1200" w:type="dxa"/>
            <w:tcMar>
              <w:top w:w="75" w:type="dxa"/>
              <w:left w:w="75" w:type="dxa"/>
              <w:bottom w:w="75" w:type="dxa"/>
              <w:right w:w="75" w:type="dxa"/>
            </w:tcMar>
            <w:vAlign w:val="top"/>
          </w:tcPr>
          <w:p>
            <w:pPr>
              <w:ind w:left="75" w:right="75"/>
              <w:spacing w:after="100" w:afterAutospacing="1" w:before="100" w:beforeAutospacing="1" w:line="240" w:lineRule="auto"/>
              <w:rPr>
                <w:rFonts w:hAnsi="Times New Roman" w:cs="Times New Roman"/>
                <w:color w:val="000000"/>
                <w:sz w:val="24"/>
                <w:szCs w:val="24"/>
              </w:rPr>
            </w:pPr>
          </w:p>
        </w:tc>
        <w:tc>
          <w:tcPr>
            <w:tcW w:w="3462" w:type="dxa"/>
            <w:tcMar>
              <w:top w:w="75" w:type="dxa"/>
              <w:left w:w="75" w:type="dxa"/>
              <w:bottom w:w="75" w:type="dxa"/>
              <w:right w:w="75" w:type="dxa"/>
            </w:tcMar>
            <w:vAlign w:val="top"/>
          </w:tcPr>
          <w:p>
            <w:pPr>
              <w:ind w:left="75" w:right="75"/>
              <w:spacing w:after="100" w:afterAutospacing="1" w:before="100" w:beforeAutospacing="1" w:line="240" w:lineRule="auto"/>
              <w:rPr>
                <w:rFonts w:hAnsi="Times New Roman" w:cs="Times New Roman"/>
                <w:color w:val="000000"/>
                <w:sz w:val="24"/>
                <w:szCs w:val="24"/>
              </w:rPr>
            </w:pPr>
          </w:p>
        </w:tc>
      </w:tr>
    </w:tbl>
    <w:p/>
    <w:sectPr>
      <w:pgSz w:w="11907" w:h="16839"/>
      <w:pgMar w:top="1440" w:right="1440" w:bottom="1440" w:left="1440" w:header="720" w:footer="720"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Symbol">
    <w:panose1 w:val="05050102010706020507"/>
    <w:charset w:val="00"/>
    <w:notTrueType w:val="false"/>
    <w:sig w:usb0="00000001" w:usb1="00000001" w:usb2="00000001" w:usb3="00000001" w:csb0="80000000" w:csb1="00000001"/>
  </w:font>
  <w:font w:name="Courier New">
    <w:panose1 w:val="02070309020205020404"/>
    <w:charset w:val="00"/>
    <w:notTrueType w:val="false"/>
    <w:sig w:usb0="E0002EFF" w:usb1="C0007843" w:usb2="00000009" w:usb3="00000001" w:csb0="400001FF" w:csb1="FFFF0000"/>
  </w:font>
  <w:font w:name="Wingdings">
    <w:panose1 w:val="05000000000000000000"/>
    <w:charset w:val="00"/>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2">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3">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4">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5">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6">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7">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8">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9">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0">
    <w:multiLevelType w:val="multilevel"/>
    <w:tmpl w:val="2bea0da"/>
    <w:lvl w:ilvl="0">
      <w:start w:val="1"/>
      <w:numFmt w:val="bullet"/>
      <w:lvlText w:val=""/>
      <w:lvlJc w:val="left"/>
      <w:pPr>
        <w:ind w:left="720" w:hanging="360"/>
        <w:tabs>
          <w:tab w:val="num" w:pos="720"/>
        </w:tabs>
      </w:pPr>
      <w:rPr>
        <w:rFonts w:ascii="Symbol" w:hAnsi="Symbol" w:hint="default"/>
        <w:sz w:val="20"/>
      </w:rPr>
    </w:lvl>
    <w:lvl w:ilvl="1">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2022-02-08T13:13:47Z</dcterms:modified>
</cp:coreProperties>
</file>