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60" w:rsidRDefault="00EE4FC5">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ТЕХНИЧЕСКОЕ ЗАДАНИЕ</w:t>
      </w:r>
    </w:p>
    <w:p w:rsidR="001A3860" w:rsidRDefault="00EE4FC5">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Поставка и монтаж «Автодрома»</w:t>
      </w:r>
    </w:p>
    <w:p w:rsidR="001A3860" w:rsidRDefault="001A3860">
      <w:pPr>
        <w:spacing w:after="0" w:line="240" w:lineRule="auto"/>
        <w:jc w:val="center"/>
        <w:rPr>
          <w:rFonts w:ascii="Times New Roman" w:eastAsia="Times New Roman" w:hAnsi="Times New Roman" w:cs="Times New Roman"/>
          <w:b/>
          <w:color w:val="00000A"/>
          <w:sz w:val="24"/>
          <w:szCs w:val="24"/>
        </w:rPr>
      </w:pPr>
    </w:p>
    <w:tbl>
      <w:tblPr>
        <w:tblStyle w:val="a5"/>
        <w:tblW w:w="11057" w:type="dxa"/>
        <w:tblInd w:w="-431" w:type="dxa"/>
        <w:tblLayout w:type="fixed"/>
        <w:tblLook w:val="0400" w:firstRow="0" w:lastRow="0" w:firstColumn="0" w:lastColumn="0" w:noHBand="0" w:noVBand="1"/>
      </w:tblPr>
      <w:tblGrid>
        <w:gridCol w:w="569"/>
        <w:gridCol w:w="3259"/>
        <w:gridCol w:w="2268"/>
        <w:gridCol w:w="3402"/>
        <w:gridCol w:w="850"/>
        <w:gridCol w:w="709"/>
      </w:tblGrid>
      <w:tr w:rsidR="001A3860">
        <w:tc>
          <w:tcPr>
            <w:tcW w:w="569" w:type="dxa"/>
            <w:vMerge w:val="restart"/>
            <w:tcBorders>
              <w:top w:val="single" w:sz="4" w:space="0" w:color="000000"/>
              <w:left w:val="single" w:sz="4" w:space="0" w:color="000000"/>
              <w:bottom w:val="single" w:sz="4" w:space="0" w:color="000000"/>
              <w:right w:val="nil"/>
            </w:tcBorders>
            <w:vAlign w:val="center"/>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1A3860" w:rsidRDefault="00EE4FC5">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3259" w:type="dxa"/>
            <w:vMerge w:val="restart"/>
            <w:tcBorders>
              <w:top w:val="single" w:sz="4" w:space="0" w:color="000000"/>
              <w:left w:val="single" w:sz="4" w:space="0" w:color="000000"/>
              <w:bottom w:val="single" w:sz="4" w:space="0" w:color="000000"/>
              <w:right w:val="nil"/>
            </w:tcBorders>
            <w:vAlign w:val="center"/>
          </w:tcPr>
          <w:p w:rsidR="001A3860" w:rsidRDefault="00EE4FC5">
            <w:pPr>
              <w:spacing w:after="0" w:line="240" w:lineRule="auto"/>
              <w:jc w:val="center"/>
              <w:rPr>
                <w:rFonts w:ascii="Times New Roman" w:eastAsia="Times New Roman" w:hAnsi="Times New Roman" w:cs="Times New Roman"/>
                <w:sz w:val="24"/>
                <w:szCs w:val="24"/>
              </w:rPr>
            </w:pPr>
            <w:bookmarkStart w:id="1" w:name="_gjdgxs" w:colFirst="0" w:colLast="0"/>
            <w:bookmarkEnd w:id="1"/>
            <w:proofErr w:type="gramStart"/>
            <w:r>
              <w:rPr>
                <w:rFonts w:ascii="Times New Roman" w:eastAsia="Times New Roman" w:hAnsi="Times New Roman" w:cs="Times New Roman"/>
                <w:b/>
                <w:sz w:val="24"/>
                <w:szCs w:val="24"/>
              </w:rPr>
              <w:t>Наименование товара), изображение</w:t>
            </w:r>
            <w:proofErr w:type="gramEnd"/>
          </w:p>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(носит рекомендательный характер)</w:t>
            </w:r>
          </w:p>
        </w:tc>
        <w:tc>
          <w:tcPr>
            <w:tcW w:w="5670" w:type="dxa"/>
            <w:gridSpan w:val="2"/>
            <w:tcBorders>
              <w:top w:val="single" w:sz="4" w:space="0" w:color="000000"/>
              <w:left w:val="single" w:sz="4" w:space="0" w:color="000000"/>
              <w:bottom w:val="single" w:sz="4" w:space="0" w:color="000000"/>
              <w:right w:val="nil"/>
            </w:tcBorders>
            <w:vAlign w:val="center"/>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Технические характеристики материалов (товаров)</w:t>
            </w:r>
          </w:p>
        </w:tc>
        <w:tc>
          <w:tcPr>
            <w:tcW w:w="850" w:type="dxa"/>
            <w:vMerge w:val="restart"/>
            <w:tcBorders>
              <w:top w:val="single" w:sz="4" w:space="0" w:color="000000"/>
              <w:left w:val="single" w:sz="4" w:space="0" w:color="000000"/>
              <w:bottom w:val="single" w:sz="4" w:space="0" w:color="000000"/>
              <w:right w:val="nil"/>
            </w:tcBorders>
            <w:vAlign w:val="center"/>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Ед.</w:t>
            </w:r>
          </w:p>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изм.</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w:t>
            </w:r>
          </w:p>
        </w:tc>
      </w:tr>
      <w:tr w:rsidR="001A3860">
        <w:tc>
          <w:tcPr>
            <w:tcW w:w="569" w:type="dxa"/>
            <w:vMerge/>
            <w:tcBorders>
              <w:top w:val="single" w:sz="4" w:space="0" w:color="000000"/>
              <w:left w:val="single" w:sz="4" w:space="0" w:color="000000"/>
              <w:bottom w:val="single" w:sz="4" w:space="0" w:color="000000"/>
              <w:right w:val="nil"/>
            </w:tcBorders>
            <w:vAlign w:val="center"/>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single" w:sz="4" w:space="0" w:color="000000"/>
              <w:right w:val="nil"/>
            </w:tcBorders>
            <w:vAlign w:val="center"/>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vAlign w:val="center"/>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показателей</w:t>
            </w:r>
          </w:p>
        </w:tc>
        <w:tc>
          <w:tcPr>
            <w:tcW w:w="3402" w:type="dxa"/>
            <w:tcBorders>
              <w:top w:val="single" w:sz="4" w:space="0" w:color="000000"/>
              <w:left w:val="single" w:sz="4" w:space="0" w:color="000000"/>
              <w:bottom w:val="single" w:sz="4" w:space="0" w:color="000000"/>
              <w:right w:val="nil"/>
            </w:tcBorders>
            <w:vAlign w:val="center"/>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Значение показателей</w:t>
            </w:r>
          </w:p>
        </w:tc>
        <w:tc>
          <w:tcPr>
            <w:tcW w:w="850" w:type="dxa"/>
            <w:vMerge/>
            <w:tcBorders>
              <w:top w:val="single" w:sz="4" w:space="0" w:color="000000"/>
              <w:left w:val="single" w:sz="4" w:space="0" w:color="000000"/>
              <w:bottom w:val="single" w:sz="4" w:space="0" w:color="000000"/>
              <w:right w:val="nil"/>
            </w:tcBorders>
            <w:vAlign w:val="center"/>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295"/>
        </w:trPr>
        <w:tc>
          <w:tcPr>
            <w:tcW w:w="569" w:type="dxa"/>
            <w:tcBorders>
              <w:top w:val="single" w:sz="4" w:space="0" w:color="000000"/>
              <w:left w:val="single" w:sz="4" w:space="0" w:color="000000"/>
              <w:bottom w:val="single" w:sz="4" w:space="0" w:color="000000"/>
              <w:right w:val="nil"/>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59" w:type="dxa"/>
            <w:tcBorders>
              <w:top w:val="single" w:sz="4" w:space="0" w:color="000000"/>
              <w:left w:val="single" w:sz="4" w:space="0" w:color="000000"/>
              <w:bottom w:val="single" w:sz="4" w:space="0" w:color="000000"/>
              <w:right w:val="nil"/>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A3860">
        <w:trPr>
          <w:trHeight w:val="225"/>
        </w:trPr>
        <w:tc>
          <w:tcPr>
            <w:tcW w:w="569" w:type="dxa"/>
            <w:vMerge w:val="restart"/>
            <w:tcBorders>
              <w:top w:val="single" w:sz="4" w:space="0" w:color="000000"/>
              <w:left w:val="single" w:sz="4" w:space="0" w:color="000000"/>
              <w:bottom w:val="nil"/>
              <w:right w:val="nil"/>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59" w:type="dxa"/>
            <w:vMerge w:val="restart"/>
            <w:tcBorders>
              <w:top w:val="single" w:sz="4" w:space="0" w:color="000000"/>
              <w:left w:val="single" w:sz="4" w:space="0" w:color="000000"/>
              <w:bottom w:val="nil"/>
              <w:right w:val="nil"/>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Аттракцион «Автодром» (образец)</w:t>
            </w:r>
          </w:p>
          <w:p w:rsidR="001A3860" w:rsidRDefault="00EE4FC5">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24050" cy="1304925"/>
                  <wp:effectExtent l="0" t="0" r="0" b="0"/>
                  <wp:docPr id="1" name="image1.png" descr="Безымянный"/>
                  <wp:cNvGraphicFramePr/>
                  <a:graphic xmlns:a="http://schemas.openxmlformats.org/drawingml/2006/main">
                    <a:graphicData uri="http://schemas.openxmlformats.org/drawingml/2006/picture">
                      <pic:pic xmlns:pic="http://schemas.openxmlformats.org/drawingml/2006/picture">
                        <pic:nvPicPr>
                          <pic:cNvPr id="0" name="image1.png" descr="Безымянный"/>
                          <pic:cNvPicPr preferRelativeResize="0"/>
                        </pic:nvPicPr>
                        <pic:blipFill>
                          <a:blip r:embed="rId6"/>
                          <a:srcRect/>
                          <a:stretch>
                            <a:fillRect/>
                          </a:stretch>
                        </pic:blipFill>
                        <pic:spPr>
                          <a:xfrm>
                            <a:off x="0" y="0"/>
                            <a:ext cx="1924050" cy="1304925"/>
                          </a:xfrm>
                          <a:prstGeom prst="rect">
                            <a:avLst/>
                          </a:prstGeom>
                          <a:ln/>
                        </pic:spPr>
                      </pic:pic>
                    </a:graphicData>
                  </a:graphic>
                </wp:inline>
              </w:drawing>
            </w: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аттракциона (</w:t>
            </w:r>
            <w:proofErr w:type="spellStart"/>
            <w:r>
              <w:rPr>
                <w:rFonts w:ascii="Times New Roman" w:eastAsia="Times New Roman" w:hAnsi="Times New Roman" w:cs="Times New Roman"/>
                <w:sz w:val="24"/>
                <w:szCs w:val="24"/>
              </w:rPr>
              <w:t>ДхШхВ</w:t>
            </w:r>
            <w:proofErr w:type="spellEnd"/>
            <w:r>
              <w:rPr>
                <w:rFonts w:ascii="Times New Roman" w:eastAsia="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12х9,5х5 м **</w:t>
            </w:r>
          </w:p>
        </w:tc>
        <w:tc>
          <w:tcPr>
            <w:tcW w:w="850" w:type="dxa"/>
            <w:vMerge w:val="restart"/>
            <w:tcBorders>
              <w:top w:val="single" w:sz="4" w:space="0" w:color="000000"/>
              <w:left w:val="single" w:sz="4" w:space="0" w:color="000000"/>
              <w:bottom w:val="nil"/>
              <w:right w:val="single" w:sz="4" w:space="0" w:color="000000"/>
            </w:tcBorders>
          </w:tcPr>
          <w:p w:rsidR="001A3860" w:rsidRDefault="00EE4FC5">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709" w:type="dxa"/>
            <w:vMerge w:val="restart"/>
            <w:tcBorders>
              <w:top w:val="single" w:sz="4" w:space="0" w:color="000000"/>
              <w:left w:val="single" w:sz="4" w:space="0" w:color="000000"/>
              <w:bottom w:val="nil"/>
              <w:right w:val="single" w:sz="4" w:space="0" w:color="000000"/>
            </w:tcBorders>
          </w:tcPr>
          <w:p w:rsidR="001A3860" w:rsidRDefault="00EE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A3860">
        <w:trPr>
          <w:trHeight w:val="525"/>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площади катания (</w:t>
            </w:r>
            <w:proofErr w:type="spellStart"/>
            <w:r>
              <w:rPr>
                <w:rFonts w:ascii="Times New Roman" w:eastAsia="Times New Roman" w:hAnsi="Times New Roman" w:cs="Times New Roman"/>
                <w:sz w:val="24"/>
                <w:szCs w:val="24"/>
              </w:rPr>
              <w:t>ДхШ</w:t>
            </w:r>
            <w:proofErr w:type="spellEnd"/>
            <w:r>
              <w:rPr>
                <w:rFonts w:ascii="Times New Roman" w:eastAsia="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10х7,5 м**</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221"/>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пассажирских модулей</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менее 5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7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Допустимое одновременное число посетителей, помещающихся в одном пассажирском модуле</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7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Допустимый вес пассажиров в одном пассажирском модуле </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150 кг**</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пассажирского модуля</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Стеклопластик*</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9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Колеса пассажирского модуля</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металлический диск (обод) с </w:t>
            </w:r>
            <w:proofErr w:type="gramStart"/>
            <w:r>
              <w:rPr>
                <w:rFonts w:ascii="Times New Roman" w:eastAsia="Times New Roman" w:hAnsi="Times New Roman" w:cs="Times New Roman"/>
                <w:sz w:val="24"/>
                <w:szCs w:val="24"/>
              </w:rPr>
              <w:t>покрышкой</w:t>
            </w:r>
            <w:proofErr w:type="gramEnd"/>
            <w:r>
              <w:rPr>
                <w:rFonts w:ascii="Times New Roman" w:eastAsia="Times New Roman" w:hAnsi="Times New Roman" w:cs="Times New Roman"/>
                <w:sz w:val="24"/>
                <w:szCs w:val="24"/>
              </w:rPr>
              <w:t xml:space="preserve"> выполненной из полиуретана*</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5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Пассажирский модуль</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не менее 350 Вт не более 450 Вт**</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токосъемник нижний*</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рул</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наличие*</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педали скорость – наличие*</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2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скорость пассажирского модуля (электромашин)</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10 км/ч**</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681"/>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nil"/>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 пола</w:t>
            </w:r>
          </w:p>
        </w:tc>
        <w:tc>
          <w:tcPr>
            <w:tcW w:w="3402" w:type="dxa"/>
            <w:tcBorders>
              <w:top w:val="single" w:sz="4" w:space="0" w:color="000000"/>
              <w:left w:val="single" w:sz="4" w:space="0" w:color="000000"/>
              <w:bottom w:val="nil"/>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должен быть изготовлен из стальной профильной трубы размером не менее 40х40х2 мм**. Каркас устанавливается на асфальтированной площадке*</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35"/>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передачей электрического напряжения на модуль*.</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Стальные плиты размером не менее 1300х450 мм** Толщина верхнего стального </w:t>
            </w:r>
            <w:r>
              <w:rPr>
                <w:rFonts w:ascii="Times New Roman" w:eastAsia="Times New Roman" w:hAnsi="Times New Roman" w:cs="Times New Roman"/>
                <w:sz w:val="24"/>
                <w:szCs w:val="24"/>
              </w:rPr>
              <w:lastRenderedPageBreak/>
              <w:t>листа не менее 3 мм**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слоя диэлектрика не менее 25мм**</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 стыкуется между собой*</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05"/>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Рядовые и угловые колонны</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должны быть изготовлены из стальной трубы диаметром не менее 100мм** и толщиной металла не менее 3мм**. Верхняя часть колонн должна иметь крепежные элементы для соединения с кровлей*.</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2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 кровли</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должен состоять из ферм, выполненных из стальных профильных труб: </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диаметр не менее 50мм**, толщина металла не менее 2мм**.</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9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Кровля</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двускатная</w:t>
            </w:r>
            <w:proofErr w:type="gramEnd"/>
            <w:r>
              <w:rPr>
                <w:rFonts w:ascii="Times New Roman" w:eastAsia="Times New Roman" w:hAnsi="Times New Roman" w:cs="Times New Roman"/>
                <w:sz w:val="24"/>
                <w:szCs w:val="24"/>
              </w:rPr>
              <w:t xml:space="preserve"> по фермам, изготовленным из профилированного листа толщиной не менее 0,5мм**.</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18"/>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Отбойник</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бордюр для отражения ударов машин и для ограничения стального пола от выезда машин за его пределы должен быть из швеллера №16.</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Швеллер должен быть покрыт антикоррозийным грунтовочным покрытием и окрашен*</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18"/>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Дорожка безопасности</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внутри «Автодрома» по всему периметру пола должен быть расположен настил дорожек выполненных из рифленого стального листа и предназначен для обеспечения безопасного передвижения оператора и участников в аварийных ситуациях, как при включенном, так и выключ</w:t>
            </w:r>
            <w:r>
              <w:rPr>
                <w:rFonts w:ascii="Times New Roman" w:eastAsia="Times New Roman" w:hAnsi="Times New Roman" w:cs="Times New Roman"/>
                <w:sz w:val="24"/>
                <w:szCs w:val="24"/>
              </w:rPr>
              <w:t>енном напряжении.</w:t>
            </w:r>
            <w:proofErr w:type="gramEnd"/>
            <w:r>
              <w:rPr>
                <w:rFonts w:ascii="Times New Roman" w:eastAsia="Times New Roman" w:hAnsi="Times New Roman" w:cs="Times New Roman"/>
                <w:sz w:val="24"/>
                <w:szCs w:val="24"/>
              </w:rPr>
              <w:t xml:space="preserve"> Дорожка шириной не менее 400 мм** между границей пола и декоративным ограждением площадки</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35"/>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Ограждение</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металлические </w:t>
            </w:r>
            <w:proofErr w:type="gramStart"/>
            <w:r>
              <w:rPr>
                <w:rFonts w:ascii="Times New Roman" w:eastAsia="Times New Roman" w:hAnsi="Times New Roman" w:cs="Times New Roman"/>
                <w:sz w:val="24"/>
                <w:szCs w:val="24"/>
              </w:rPr>
              <w:t>секции-решетка</w:t>
            </w:r>
            <w:proofErr w:type="gramEnd"/>
            <w:r>
              <w:rPr>
                <w:rFonts w:ascii="Times New Roman" w:eastAsia="Times New Roman" w:hAnsi="Times New Roman" w:cs="Times New Roman"/>
                <w:sz w:val="24"/>
                <w:szCs w:val="24"/>
              </w:rPr>
              <w:t xml:space="preserve"> высотой не менее 1100 мм**, предназначенных для предотвращения проникновения посторонних лиц в опасную зону во время эксплуатации аттракциона*</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18"/>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Лакокрасочное покрытие</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металлические детали аттракциона должны быть покрыты антикоррозийным </w:t>
            </w:r>
            <w:r>
              <w:rPr>
                <w:rFonts w:ascii="Times New Roman" w:eastAsia="Times New Roman" w:hAnsi="Times New Roman" w:cs="Times New Roman"/>
                <w:sz w:val="24"/>
                <w:szCs w:val="24"/>
              </w:rPr>
              <w:lastRenderedPageBreak/>
              <w:t>грунтовочным покрытием*</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2670"/>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Шкаф управления аттракционом</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Рассчитан</w:t>
            </w:r>
            <w:proofErr w:type="gramEnd"/>
            <w:r>
              <w:rPr>
                <w:rFonts w:ascii="Times New Roman" w:eastAsia="Times New Roman" w:hAnsi="Times New Roman" w:cs="Times New Roman"/>
                <w:sz w:val="24"/>
                <w:szCs w:val="24"/>
              </w:rPr>
              <w:t xml:space="preserve"> на не менее 5 модулей**</w:t>
            </w:r>
          </w:p>
          <w:p w:rsidR="001A3860" w:rsidRDefault="00EE4FC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электрооборудование аттракциона должно быть из следующих составных частей: силовой цепи, цепей управления, иллюминации и сигнализации. Электроснабжение аттракциона осуществляется через вводной автоматический выключатель, установленный в шкафу управления.</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абаритные размеры шкафа не более 1650 мм х 800 мм х 800 мм**, степень защиты IP44*.</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тока – переменный*,</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Напряжение, В – 380*,</w:t>
            </w:r>
          </w:p>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фаз – 3*</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351"/>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Внутреннее освещение</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8** светодиодных прожекторов по периметру площадки, мощностью не менее 50Вт**. каждая</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A3860">
        <w:trPr>
          <w:trHeight w:val="103"/>
        </w:trPr>
        <w:tc>
          <w:tcPr>
            <w:tcW w:w="56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59" w:type="dxa"/>
            <w:vMerge/>
            <w:tcBorders>
              <w:top w:val="single" w:sz="4" w:space="0" w:color="000000"/>
              <w:left w:val="single" w:sz="4" w:space="0" w:color="000000"/>
              <w:bottom w:val="nil"/>
              <w:right w:val="nil"/>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Иллюминация</w:t>
            </w:r>
          </w:p>
        </w:tc>
        <w:tc>
          <w:tcPr>
            <w:tcW w:w="3402" w:type="dxa"/>
            <w:tcBorders>
              <w:top w:val="single" w:sz="4" w:space="0" w:color="000000"/>
              <w:left w:val="single" w:sz="4" w:space="0" w:color="000000"/>
              <w:bottom w:val="single" w:sz="4" w:space="0" w:color="000000"/>
              <w:right w:val="nil"/>
            </w:tcBorders>
          </w:tcPr>
          <w:p w:rsidR="001A3860" w:rsidRDefault="00EE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Лента светодиодная по пластиковому обрамлению  крыши мощностью не более 10 Вт/м**</w:t>
            </w:r>
          </w:p>
        </w:tc>
        <w:tc>
          <w:tcPr>
            <w:tcW w:w="850"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tcPr>
          <w:p w:rsidR="001A3860" w:rsidRDefault="001A3860">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1A3860" w:rsidRDefault="001A3860">
      <w:pPr>
        <w:spacing w:after="0" w:line="240" w:lineRule="auto"/>
        <w:jc w:val="both"/>
        <w:rPr>
          <w:rFonts w:ascii="Times New Roman" w:eastAsia="Times New Roman" w:hAnsi="Times New Roman" w:cs="Times New Roman"/>
          <w:b/>
          <w:color w:val="00000A"/>
          <w:sz w:val="24"/>
          <w:szCs w:val="24"/>
        </w:rPr>
      </w:pPr>
    </w:p>
    <w:p w:rsidR="001A3860" w:rsidRDefault="00EE4FC5">
      <w:pPr>
        <w:keepNext/>
        <w:keepLines/>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*Установлено конкретное значение показателя.</w:t>
      </w:r>
    </w:p>
    <w:p w:rsidR="001A3860" w:rsidRDefault="00EE4FC5">
      <w:pPr>
        <w:keepNext/>
        <w:keepLines/>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 xml:space="preserve">- при установлении требований к конкретному значению, участнику в первой части заявки необходимо указать данное значение показателя </w:t>
      </w:r>
      <w:proofErr w:type="gramStart"/>
      <w:r>
        <w:rPr>
          <w:rFonts w:ascii="Times New Roman" w:eastAsia="Times New Roman" w:hAnsi="Times New Roman" w:cs="Times New Roman"/>
          <w:i/>
          <w:sz w:val="24"/>
          <w:szCs w:val="24"/>
          <w:u w:val="single"/>
        </w:rPr>
        <w:t>неизменным</w:t>
      </w:r>
      <w:proofErr w:type="gramEnd"/>
      <w:r>
        <w:rPr>
          <w:rFonts w:ascii="Times New Roman" w:eastAsia="Times New Roman" w:hAnsi="Times New Roman" w:cs="Times New Roman"/>
          <w:i/>
          <w:sz w:val="24"/>
          <w:szCs w:val="24"/>
          <w:u w:val="single"/>
        </w:rPr>
        <w:t>.</w:t>
      </w:r>
    </w:p>
    <w:p w:rsidR="001A3860" w:rsidRDefault="001A3860">
      <w:pPr>
        <w:keepNext/>
        <w:keepLines/>
        <w:spacing w:after="0" w:line="240" w:lineRule="auto"/>
        <w:jc w:val="both"/>
        <w:rPr>
          <w:rFonts w:ascii="Times New Roman" w:eastAsia="Times New Roman" w:hAnsi="Times New Roman" w:cs="Times New Roman"/>
          <w:i/>
          <w:sz w:val="24"/>
          <w:szCs w:val="24"/>
          <w:u w:val="single"/>
        </w:rPr>
      </w:pPr>
    </w:p>
    <w:p w:rsidR="001A3860" w:rsidRDefault="00EE4FC5">
      <w:pPr>
        <w:keepNext/>
        <w:keepLines/>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**Установлено минимальное и (или) максимальное значение показателя.</w:t>
      </w:r>
    </w:p>
    <w:p w:rsidR="001A3860" w:rsidRDefault="00EE4FC5">
      <w:pPr>
        <w:keepNext/>
        <w:keepLines/>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ab/>
        <w:t>- если в описании объекта закупки использу</w:t>
      </w:r>
      <w:r>
        <w:rPr>
          <w:rFonts w:ascii="Times New Roman" w:eastAsia="Times New Roman" w:hAnsi="Times New Roman" w:cs="Times New Roman"/>
          <w:i/>
          <w:sz w:val="24"/>
          <w:szCs w:val="24"/>
          <w:u w:val="single"/>
        </w:rPr>
        <w:t xml:space="preserve">ются максимальное или минимальное значение показателя, которое сопровождается словами «не более», «не менее», то указывается конкретное значение такого показателя (без слов «не более», «не менее»), которое не должно превышать максимального или быть меньше </w:t>
      </w:r>
      <w:r>
        <w:rPr>
          <w:rFonts w:ascii="Times New Roman" w:eastAsia="Times New Roman" w:hAnsi="Times New Roman" w:cs="Times New Roman"/>
          <w:i/>
          <w:sz w:val="24"/>
          <w:szCs w:val="24"/>
          <w:u w:val="single"/>
        </w:rPr>
        <w:t>минимального значения установленного показателя (значения).</w:t>
      </w:r>
    </w:p>
    <w:p w:rsidR="001A3860" w:rsidRDefault="001A3860">
      <w:pPr>
        <w:spacing w:after="0" w:line="240" w:lineRule="auto"/>
        <w:jc w:val="center"/>
        <w:rPr>
          <w:rFonts w:ascii="Times New Roman" w:eastAsia="Times New Roman" w:hAnsi="Times New Roman" w:cs="Times New Roman"/>
          <w:b/>
          <w:color w:val="00000A"/>
          <w:sz w:val="24"/>
          <w:szCs w:val="24"/>
        </w:rPr>
      </w:pPr>
    </w:p>
    <w:p w:rsidR="001A3860" w:rsidRDefault="00EE4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Pr>
          <w:rFonts w:ascii="Times New Roman" w:eastAsia="Times New Roman" w:hAnsi="Times New Roman" w:cs="Times New Roman"/>
          <w:sz w:val="24"/>
          <w:szCs w:val="24"/>
        </w:rPr>
        <w:t>числе</w:t>
      </w:r>
      <w:proofErr w:type="gramEnd"/>
      <w:r>
        <w:rPr>
          <w:rFonts w:ascii="Times New Roman" w:eastAsia="Times New Roman" w:hAnsi="Times New Roman" w:cs="Times New Roman"/>
          <w:sz w:val="24"/>
          <w:szCs w:val="24"/>
        </w:rPr>
        <w:t xml:space="preserve"> который не был восстановлен, у которого не была осуществлена замена составных частей, </w:t>
      </w:r>
      <w:r>
        <w:rPr>
          <w:rFonts w:ascii="Times New Roman" w:eastAsia="Times New Roman" w:hAnsi="Times New Roman" w:cs="Times New Roman"/>
          <w:sz w:val="24"/>
          <w:szCs w:val="24"/>
        </w:rPr>
        <w:t>не были восстановлены потребительские свойства) в случае, если иное не предусмотрено описанием объекта закупки.</w:t>
      </w:r>
    </w:p>
    <w:p w:rsidR="001A3860" w:rsidRDefault="00EE4FC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несет ответственность за соответствие используемых материалов государственным стандартам. В случае обнаружения несоответствий Поставщи</w:t>
      </w:r>
      <w:r>
        <w:rPr>
          <w:rFonts w:ascii="Times New Roman" w:eastAsia="Times New Roman" w:hAnsi="Times New Roman" w:cs="Times New Roman"/>
          <w:sz w:val="24"/>
          <w:szCs w:val="24"/>
        </w:rPr>
        <w:t xml:space="preserve">к обязан за свой счет и своими силами произвести их замену.  </w:t>
      </w:r>
    </w:p>
    <w:p w:rsidR="001A3860" w:rsidRDefault="00EE4FC5">
      <w:pPr>
        <w:tabs>
          <w:tab w:val="left" w:pos="1077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товаром должны быть предоставлены: сертификаты соответствия, инструкция по эксплуатации, гарантийные обязательства.</w:t>
      </w:r>
    </w:p>
    <w:p w:rsidR="001A3860" w:rsidRDefault="00EE4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вместе с товаром предоставляет Заказчику гарантию на поставленный товар и выполненные работы по  монтажу Товара со сроком действия </w:t>
      </w:r>
      <w:r>
        <w:rPr>
          <w:rFonts w:ascii="Times New Roman" w:eastAsia="Times New Roman" w:hAnsi="Times New Roman" w:cs="Times New Roman"/>
          <w:b/>
          <w:sz w:val="24"/>
          <w:szCs w:val="24"/>
        </w:rPr>
        <w:t>не менее 36 месяцев</w:t>
      </w:r>
      <w:r>
        <w:rPr>
          <w:rFonts w:ascii="Times New Roman" w:eastAsia="Times New Roman" w:hAnsi="Times New Roman" w:cs="Times New Roman"/>
          <w:sz w:val="24"/>
          <w:szCs w:val="24"/>
        </w:rPr>
        <w:t xml:space="preserve"> с момента подписания Сторонами акта выполненных работ.</w:t>
      </w:r>
    </w:p>
    <w:p w:rsidR="001A3860" w:rsidRDefault="001A3860">
      <w:pPr>
        <w:spacing w:after="0" w:line="240" w:lineRule="auto"/>
        <w:ind w:firstLine="709"/>
        <w:jc w:val="both"/>
        <w:rPr>
          <w:rFonts w:ascii="Times New Roman" w:eastAsia="Times New Roman" w:hAnsi="Times New Roman" w:cs="Times New Roman"/>
          <w:sz w:val="24"/>
          <w:szCs w:val="24"/>
        </w:rPr>
      </w:pPr>
    </w:p>
    <w:p w:rsidR="001A3860" w:rsidRDefault="00EE4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требования:</w:t>
      </w:r>
    </w:p>
    <w:p w:rsidR="001A3860" w:rsidRDefault="00EE4FC5">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ТР</w:t>
      </w:r>
      <w:proofErr w:type="gramEnd"/>
      <w:r>
        <w:rPr>
          <w:rFonts w:ascii="Times New Roman" w:eastAsia="Times New Roman" w:hAnsi="Times New Roman" w:cs="Times New Roman"/>
          <w:sz w:val="24"/>
          <w:szCs w:val="24"/>
        </w:rPr>
        <w:t xml:space="preserve"> ЕАЭС 038/201</w:t>
      </w:r>
      <w:r>
        <w:rPr>
          <w:rFonts w:ascii="Times New Roman" w:eastAsia="Times New Roman" w:hAnsi="Times New Roman" w:cs="Times New Roman"/>
          <w:sz w:val="24"/>
          <w:szCs w:val="24"/>
        </w:rPr>
        <w:t>6 Технический регламент Евразийского экономического союза «О безопасности аттракционов»;</w:t>
      </w:r>
    </w:p>
    <w:p w:rsidR="001A3860" w:rsidRDefault="00EE4FC5">
      <w:pPr>
        <w:pStyle w:val="1"/>
        <w:keepNext w:val="0"/>
        <w:numPr>
          <w:ilvl w:val="0"/>
          <w:numId w:val="1"/>
        </w:numPr>
        <w:shd w:val="clear" w:color="auto" w:fill="FFFFFF"/>
        <w:ind w:left="0" w:firstLine="709"/>
        <w:rPr>
          <w:b/>
          <w:color w:val="2D2D2D"/>
        </w:rPr>
      </w:pPr>
      <w:r>
        <w:rPr>
          <w:b/>
          <w:color w:val="2D2D2D"/>
        </w:rPr>
        <w:t>ГОСТ 33807-2016 Безопасность аттракционов. Общие требования;</w:t>
      </w:r>
    </w:p>
    <w:p w:rsidR="001A3860" w:rsidRDefault="00EE4FC5">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52170-2003 Безопасность аттракционов механизированных. Основные положения по проектированию стальны</w:t>
      </w:r>
      <w:r>
        <w:rPr>
          <w:rFonts w:ascii="Times New Roman" w:eastAsia="Times New Roman" w:hAnsi="Times New Roman" w:cs="Times New Roman"/>
          <w:color w:val="000000"/>
          <w:sz w:val="24"/>
          <w:szCs w:val="24"/>
        </w:rPr>
        <w:t>х конструкций;</w:t>
      </w:r>
    </w:p>
    <w:p w:rsidR="001A3860" w:rsidRDefault="00EE4FC5">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МЭК 60204-1-2007 Безопасность машин. Электрооборудование машин и механизмов. Часть 1. Общие требования (с Поправкой);</w:t>
      </w:r>
    </w:p>
    <w:p w:rsidR="001A3860" w:rsidRDefault="00EE4FC5">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ISO 12100-2013 Безопасность машин. Основные принципы конструирования. Оценки риска и снижения риска;</w:t>
      </w:r>
    </w:p>
    <w:p w:rsidR="001A3860" w:rsidRDefault="00EE4FC5">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50571.27-2003 (МЭК 60364-7-740-2000) Электроустановки зданий. Часть 7-740. Требования к специальным установкам или местам их расположения. Временные электрические установки для сооружений, устрой</w:t>
      </w:r>
      <w:proofErr w:type="gramStart"/>
      <w:r>
        <w:rPr>
          <w:rFonts w:ascii="Times New Roman" w:eastAsia="Times New Roman" w:hAnsi="Times New Roman" w:cs="Times New Roman"/>
          <w:color w:val="000000"/>
          <w:sz w:val="24"/>
          <w:szCs w:val="24"/>
        </w:rPr>
        <w:t>ств дл</w:t>
      </w:r>
      <w:proofErr w:type="gramEnd"/>
      <w:r>
        <w:rPr>
          <w:rFonts w:ascii="Times New Roman" w:eastAsia="Times New Roman" w:hAnsi="Times New Roman" w:cs="Times New Roman"/>
          <w:color w:val="000000"/>
          <w:sz w:val="24"/>
          <w:szCs w:val="24"/>
        </w:rPr>
        <w:t>я развлечений и павильонов на ярмарках, в парках</w:t>
      </w:r>
      <w:r>
        <w:rPr>
          <w:rFonts w:ascii="Times New Roman" w:eastAsia="Times New Roman" w:hAnsi="Times New Roman" w:cs="Times New Roman"/>
          <w:color w:val="000000"/>
          <w:sz w:val="24"/>
          <w:szCs w:val="24"/>
        </w:rPr>
        <w:t xml:space="preserve"> развлечений и цирках;</w:t>
      </w:r>
    </w:p>
    <w:p w:rsidR="001A3860" w:rsidRDefault="00EE4FC5">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9.104-2018 Единая система защиты от коррозии и старения (ЕСЗКС). Покрытия лакокрасочные. Группы условий эксплуатации.</w:t>
      </w:r>
    </w:p>
    <w:p w:rsidR="001A3860" w:rsidRDefault="001A3860"/>
    <w:sectPr w:rsidR="001A3860">
      <w:pgSz w:w="11906" w:h="16838"/>
      <w:pgMar w:top="568"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95C"/>
    <w:multiLevelType w:val="multilevel"/>
    <w:tmpl w:val="8294E52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1A3860"/>
    <w:rsid w:val="001A3860"/>
    <w:rsid w:val="00EE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ind w:left="1140" w:hanging="1140"/>
      <w:jc w:val="both"/>
      <w:outlineLvl w:val="0"/>
    </w:pPr>
    <w:rPr>
      <w:rFonts w:ascii="Times New Roman" w:eastAsia="Times New Roman" w:hAnsi="Times New Roman" w:cs="Times New Roman"/>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EE4F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ind w:left="1140" w:hanging="1140"/>
      <w:jc w:val="both"/>
      <w:outlineLvl w:val="0"/>
    </w:pPr>
    <w:rPr>
      <w:rFonts w:ascii="Times New Roman" w:eastAsia="Times New Roman" w:hAnsi="Times New Roman" w:cs="Times New Roman"/>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EE4F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5030</Characters>
  <Application>Microsoft Office Word</Application>
  <DocSecurity>0</DocSecurity>
  <Lines>119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dc:creator>
  <cp:lastModifiedBy>AlienaIo</cp:lastModifiedBy>
  <cp:revision>2</cp:revision>
  <dcterms:created xsi:type="dcterms:W3CDTF">2021-06-07T13:25:00Z</dcterms:created>
  <dcterms:modified xsi:type="dcterms:W3CDTF">2021-06-07T13:25:00Z</dcterms:modified>
</cp:coreProperties>
</file>